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F9DB" w14:textId="77777777" w:rsidR="00A20361" w:rsidRDefault="00A20361" w:rsidP="00A20361">
      <w:bookmarkStart w:id="0" w:name="OLE_LINK1"/>
      <w:bookmarkStart w:id="1" w:name="OLE_LINK2"/>
    </w:p>
    <w:p w14:paraId="6BA22591" w14:textId="77777777" w:rsidR="00A20361" w:rsidRPr="003007F7" w:rsidRDefault="00A20361" w:rsidP="00A20361">
      <w:pPr>
        <w:widowControl w:val="0"/>
        <w:autoSpaceDE w:val="0"/>
        <w:autoSpaceDN w:val="0"/>
        <w:adjustRightInd w:val="0"/>
        <w:spacing w:after="240" w:line="340" w:lineRule="atLeast"/>
        <w:jc w:val="center"/>
        <w:rPr>
          <w:rFonts w:ascii="Times" w:hAnsi="Times" w:cs="Times"/>
          <w:b/>
          <w:color w:val="000000"/>
        </w:rPr>
      </w:pPr>
      <w:r w:rsidRPr="003007F7">
        <w:rPr>
          <w:rFonts w:ascii="Times" w:hAnsi="Times" w:cs="Times"/>
          <w:b/>
          <w:color w:val="000000"/>
          <w:sz w:val="29"/>
          <w:szCs w:val="29"/>
        </w:rPr>
        <w:t>Foreign Trade Policy as Education Policy? The Impact of Import Competition on K-12 Public Education Expenditures</w:t>
      </w:r>
    </w:p>
    <w:p w14:paraId="468811CE" w14:textId="77777777" w:rsidR="00A20361" w:rsidRPr="00453F66" w:rsidRDefault="00A20361" w:rsidP="00A20361">
      <w:pPr>
        <w:spacing w:line="200" w:lineRule="atLeast"/>
        <w:jc w:val="center"/>
      </w:pPr>
    </w:p>
    <w:p w14:paraId="794E0B73" w14:textId="77777777" w:rsidR="00A20361" w:rsidRPr="00453F66" w:rsidRDefault="00A20361" w:rsidP="00A20361">
      <w:pPr>
        <w:spacing w:line="200" w:lineRule="atLeast"/>
        <w:jc w:val="center"/>
      </w:pPr>
    </w:p>
    <w:p w14:paraId="421A4279" w14:textId="77777777" w:rsidR="00A20361" w:rsidRPr="00453F66" w:rsidRDefault="00A20361" w:rsidP="00A20361">
      <w:pPr>
        <w:spacing w:line="200" w:lineRule="atLeast"/>
        <w:jc w:val="center"/>
      </w:pPr>
      <w:r>
        <w:t>Haiyang Kong</w:t>
      </w:r>
      <w:r>
        <w:rPr>
          <w:rStyle w:val="FootnoteReference"/>
        </w:rPr>
        <w:footnoteReference w:id="1"/>
      </w:r>
    </w:p>
    <w:p w14:paraId="0474F400" w14:textId="77777777" w:rsidR="00A20361" w:rsidRDefault="00A20361" w:rsidP="00A20361">
      <w:pPr>
        <w:spacing w:line="200" w:lineRule="atLeast"/>
        <w:jc w:val="center"/>
      </w:pPr>
    </w:p>
    <w:p w14:paraId="15C167E3" w14:textId="70CF6548" w:rsidR="00A20361" w:rsidRDefault="00A20361" w:rsidP="00A20361">
      <w:pPr>
        <w:spacing w:line="200" w:lineRule="atLeast"/>
        <w:jc w:val="center"/>
      </w:pPr>
    </w:p>
    <w:p w14:paraId="37BB38AC" w14:textId="2EF8C83D" w:rsidR="00A20361" w:rsidRDefault="00A15792" w:rsidP="00A20361">
      <w:pPr>
        <w:spacing w:line="200" w:lineRule="atLeast"/>
        <w:jc w:val="center"/>
      </w:pPr>
      <w:r>
        <w:t xml:space="preserve">November </w:t>
      </w:r>
      <w:r w:rsidR="00650762">
        <w:t>2</w:t>
      </w:r>
      <w:r w:rsidR="00801F40">
        <w:t>9</w:t>
      </w:r>
      <w:r w:rsidR="0098563E">
        <w:t>, 2019</w:t>
      </w:r>
    </w:p>
    <w:p w14:paraId="2479E3B8" w14:textId="77777777" w:rsidR="00A20361" w:rsidRDefault="00A20361" w:rsidP="00A20361">
      <w:pPr>
        <w:spacing w:line="200" w:lineRule="atLeast"/>
        <w:jc w:val="center"/>
      </w:pPr>
    </w:p>
    <w:p w14:paraId="7321DD63" w14:textId="77777777" w:rsidR="00A20361" w:rsidRDefault="00A20361" w:rsidP="00A20361">
      <w:pPr>
        <w:spacing w:line="200" w:lineRule="atLeast"/>
        <w:jc w:val="center"/>
      </w:pPr>
    </w:p>
    <w:p w14:paraId="57EFD4CD" w14:textId="77777777" w:rsidR="00A20361" w:rsidRDefault="00A20361" w:rsidP="00A20361">
      <w:pPr>
        <w:spacing w:line="200" w:lineRule="atLeast"/>
        <w:jc w:val="center"/>
      </w:pPr>
    </w:p>
    <w:p w14:paraId="26C3A23A" w14:textId="77777777" w:rsidR="00A20361" w:rsidRDefault="00A20361" w:rsidP="00A20361">
      <w:pPr>
        <w:spacing w:line="200" w:lineRule="atLeast"/>
        <w:jc w:val="center"/>
      </w:pPr>
    </w:p>
    <w:p w14:paraId="3A33582C" w14:textId="77777777" w:rsidR="00A20361" w:rsidRDefault="00A20361" w:rsidP="00A20361">
      <w:pPr>
        <w:spacing w:line="200" w:lineRule="atLeast"/>
        <w:jc w:val="center"/>
      </w:pPr>
    </w:p>
    <w:p w14:paraId="5ECA664D" w14:textId="77777777" w:rsidR="00A20361" w:rsidRDefault="00A20361" w:rsidP="00A20361">
      <w:pPr>
        <w:spacing w:line="200" w:lineRule="atLeast"/>
        <w:jc w:val="center"/>
      </w:pPr>
    </w:p>
    <w:p w14:paraId="0761F9AF" w14:textId="77777777" w:rsidR="00A20361" w:rsidRPr="00453F66" w:rsidRDefault="00A20361" w:rsidP="00A20361">
      <w:pPr>
        <w:spacing w:line="200" w:lineRule="atLeast"/>
      </w:pPr>
    </w:p>
    <w:p w14:paraId="54B46B31" w14:textId="77777777" w:rsidR="00A20361" w:rsidRPr="00453F66" w:rsidRDefault="00A20361" w:rsidP="00A20361">
      <w:pPr>
        <w:spacing w:line="200" w:lineRule="atLeast"/>
        <w:jc w:val="both"/>
      </w:pPr>
    </w:p>
    <w:p w14:paraId="702D63A1" w14:textId="2F2840F4" w:rsidR="0096731F" w:rsidRDefault="003007F7" w:rsidP="0096731F">
      <w:pPr>
        <w:spacing w:after="100" w:line="340" w:lineRule="atLeast"/>
        <w:jc w:val="center"/>
        <w:rPr>
          <w:b/>
        </w:rPr>
      </w:pPr>
      <w:r w:rsidRPr="003007F7">
        <w:rPr>
          <w:b/>
        </w:rPr>
        <w:t>Abstract</w:t>
      </w:r>
    </w:p>
    <w:p w14:paraId="36508E02" w14:textId="77777777" w:rsidR="0096731F" w:rsidRDefault="0096731F" w:rsidP="0096731F">
      <w:pPr>
        <w:spacing w:after="100" w:line="340" w:lineRule="atLeast"/>
        <w:jc w:val="center"/>
      </w:pPr>
      <w:bookmarkStart w:id="2" w:name="_GoBack"/>
      <w:bookmarkEnd w:id="2"/>
    </w:p>
    <w:p w14:paraId="28810E9E" w14:textId="4E500DC7" w:rsidR="00A20361" w:rsidRDefault="00A20361" w:rsidP="00A20361">
      <w:pPr>
        <w:spacing w:after="100" w:line="340" w:lineRule="atLeast"/>
        <w:jc w:val="both"/>
      </w:pPr>
      <w:r w:rsidRPr="00453F66">
        <w:t xml:space="preserve">By exploiting variation </w:t>
      </w:r>
      <w:r>
        <w:t>in</w:t>
      </w:r>
      <w:r w:rsidRPr="00453F66">
        <w:t xml:space="preserve"> </w:t>
      </w:r>
      <w:r w:rsidR="003007F7">
        <w:t xml:space="preserve">Chinese </w:t>
      </w:r>
      <w:r w:rsidRPr="00453F66">
        <w:t xml:space="preserve">import competition </w:t>
      </w:r>
      <w:r>
        <w:t>exposure across commuting zones</w:t>
      </w:r>
      <w:r w:rsidR="003007F7">
        <w:t xml:space="preserve"> between 1990 and the mid-2000s</w:t>
      </w:r>
      <w:r w:rsidRPr="00453F66">
        <w:t xml:space="preserve">, I find </w:t>
      </w:r>
      <w:r w:rsidR="0048210B">
        <w:t xml:space="preserve">that </w:t>
      </w:r>
      <w:r w:rsidRPr="00453F66">
        <w:t xml:space="preserve">rising import </w:t>
      </w:r>
      <w:r>
        <w:t xml:space="preserve">competition </w:t>
      </w:r>
      <w:r w:rsidR="003007F7" w:rsidRPr="00453F66">
        <w:t>decrease</w:t>
      </w:r>
      <w:r w:rsidR="003007F7">
        <w:t>d</w:t>
      </w:r>
      <w:r w:rsidR="003007F7" w:rsidRPr="00453F66">
        <w:t xml:space="preserve"> </w:t>
      </w:r>
      <w:r w:rsidRPr="00453F66">
        <w:t>per-pupil expenditure</w:t>
      </w:r>
      <w:r>
        <w:t xml:space="preserve"> and revenue</w:t>
      </w:r>
      <w:r w:rsidRPr="00453F66">
        <w:t xml:space="preserve"> in public </w:t>
      </w:r>
      <w:r>
        <w:t xml:space="preserve">primary and secondary schools. </w:t>
      </w:r>
      <w:r w:rsidRPr="00453F66">
        <w:t xml:space="preserve">The decrease in per-pupil revenue </w:t>
      </w:r>
      <w:r w:rsidR="003007F7">
        <w:t>wa</w:t>
      </w:r>
      <w:r w:rsidR="003007F7" w:rsidRPr="00453F66">
        <w:t xml:space="preserve">s </w:t>
      </w:r>
      <w:r w:rsidRPr="00453F66">
        <w:t>mainly driven by decrease</w:t>
      </w:r>
      <w:r>
        <w:t>s</w:t>
      </w:r>
      <w:r w:rsidRPr="00453F66">
        <w:t xml:space="preserve"> in revenue</w:t>
      </w:r>
      <w:r>
        <w:t xml:space="preserve"> from state governments. I find no evidence that revenues from federal and local governments help</w:t>
      </w:r>
      <w:r>
        <w:rPr>
          <w:rFonts w:hint="eastAsia"/>
        </w:rPr>
        <w:t>ed</w:t>
      </w:r>
      <w:r>
        <w:t xml:space="preserve"> smooth </w:t>
      </w:r>
      <w:r w:rsidR="0048210B">
        <w:t>import</w:t>
      </w:r>
      <w:r w:rsidR="004E50DD">
        <w:t>-</w:t>
      </w:r>
      <w:r w:rsidR="0048210B">
        <w:t xml:space="preserve">induced </w:t>
      </w:r>
      <w:r>
        <w:t>shock</w:t>
      </w:r>
      <w:r w:rsidR="0048210B">
        <w:t>s</w:t>
      </w:r>
      <w:r>
        <w:t xml:space="preserve">. The decreases in per-pupil </w:t>
      </w:r>
      <w:r w:rsidR="0048210B">
        <w:t xml:space="preserve">revenues </w:t>
      </w:r>
      <w:r>
        <w:t>result</w:t>
      </w:r>
      <w:r w:rsidR="003007F7">
        <w:t>ed</w:t>
      </w:r>
      <w:r>
        <w:t xml:space="preserve"> in </w:t>
      </w:r>
      <w:r>
        <w:rPr>
          <w:rFonts w:hint="eastAsia"/>
        </w:rPr>
        <w:t>decreases</w:t>
      </w:r>
      <w:r>
        <w:t xml:space="preserve"> in expenditures on instruction, which has been found to be an important determinant of student achievement.</w:t>
      </w:r>
      <w:r w:rsidR="00EA3F33" w:rsidRPr="00392389">
        <w:t xml:space="preserve"> Lastly, I find no significant change in school enrollment associated with the import shocks, suggesting that the decreases in per-pupil expenditure </w:t>
      </w:r>
      <w:r w:rsidR="003007F7">
        <w:t>were</w:t>
      </w:r>
      <w:r w:rsidR="003007F7" w:rsidRPr="00392389">
        <w:t xml:space="preserve"> </w:t>
      </w:r>
      <w:r w:rsidR="00EA3F33" w:rsidRPr="00392389">
        <w:t>not a result of parents’ migration decisions.</w:t>
      </w:r>
    </w:p>
    <w:p w14:paraId="7A1A98BD" w14:textId="77777777" w:rsidR="00A20361" w:rsidRDefault="00A20361" w:rsidP="00A20361"/>
    <w:p w14:paraId="69628697" w14:textId="77777777" w:rsidR="00A20361" w:rsidRDefault="00A20361" w:rsidP="00A20361"/>
    <w:p w14:paraId="03D2397C" w14:textId="77777777" w:rsidR="00A20361" w:rsidRPr="00C75EAF" w:rsidRDefault="00A20361" w:rsidP="00A20361">
      <w:pPr>
        <w:widowControl w:val="0"/>
        <w:spacing w:after="240"/>
        <w:rPr>
          <w:color w:val="000000"/>
          <w:sz w:val="22"/>
          <w:szCs w:val="22"/>
        </w:rPr>
      </w:pPr>
      <w:r>
        <w:rPr>
          <w:b/>
          <w:color w:val="000000"/>
          <w:sz w:val="22"/>
          <w:szCs w:val="22"/>
        </w:rPr>
        <w:t>Keywords:</w:t>
      </w:r>
      <w:r>
        <w:rPr>
          <w:color w:val="000000"/>
          <w:sz w:val="22"/>
          <w:szCs w:val="22"/>
        </w:rPr>
        <w:t xml:space="preserve"> Import Competition, Public Education, School Financing</w:t>
      </w:r>
    </w:p>
    <w:p w14:paraId="32F3E95E" w14:textId="2E5870E4" w:rsidR="00A20361" w:rsidRDefault="00A20361" w:rsidP="00A20361">
      <w:pPr>
        <w:widowControl w:val="0"/>
        <w:spacing w:after="240"/>
        <w:rPr>
          <w:color w:val="000000"/>
          <w:sz w:val="22"/>
          <w:szCs w:val="22"/>
        </w:rPr>
      </w:pPr>
      <w:r>
        <w:rPr>
          <w:b/>
          <w:color w:val="000000"/>
          <w:sz w:val="22"/>
          <w:szCs w:val="22"/>
        </w:rPr>
        <w:t>Journal of Economic Literature Classification:</w:t>
      </w:r>
      <w:r>
        <w:rPr>
          <w:color w:val="000000"/>
          <w:sz w:val="22"/>
          <w:szCs w:val="22"/>
        </w:rPr>
        <w:t xml:space="preserve">  I22, I28</w:t>
      </w:r>
    </w:p>
    <w:p w14:paraId="5E8F447F" w14:textId="397D7A1C" w:rsidR="00A20361" w:rsidRDefault="00A20361" w:rsidP="00A20361"/>
    <w:p w14:paraId="3631507D" w14:textId="77777777" w:rsidR="003007F7" w:rsidRDefault="003007F7">
      <w:pPr>
        <w:rPr>
          <w:b/>
          <w:bCs/>
        </w:rPr>
      </w:pPr>
      <w:r>
        <w:rPr>
          <w:b/>
          <w:bCs/>
        </w:rPr>
        <w:br w:type="page"/>
      </w:r>
    </w:p>
    <w:p w14:paraId="394398AD" w14:textId="43BC9F1F" w:rsidR="00A20361" w:rsidRPr="006B1EDF" w:rsidRDefault="00FF450B" w:rsidP="00A20361">
      <w:pPr>
        <w:spacing w:line="200" w:lineRule="atLeast"/>
        <w:rPr>
          <w:b/>
          <w:bCs/>
        </w:rPr>
      </w:pPr>
      <w:r>
        <w:rPr>
          <w:b/>
          <w:bCs/>
        </w:rPr>
        <w:lastRenderedPageBreak/>
        <w:t>1</w:t>
      </w:r>
      <w:r w:rsidR="00A20361" w:rsidRPr="006B1EDF">
        <w:rPr>
          <w:b/>
          <w:bCs/>
        </w:rPr>
        <w:t>. Introduction</w:t>
      </w:r>
    </w:p>
    <w:p w14:paraId="7144E4D5" w14:textId="77777777" w:rsidR="00A20361" w:rsidRDefault="00A20361" w:rsidP="00A20361">
      <w:pPr>
        <w:spacing w:line="360" w:lineRule="auto"/>
        <w:jc w:val="both"/>
        <w:rPr>
          <w:sz w:val="22"/>
          <w:szCs w:val="22"/>
        </w:rPr>
      </w:pPr>
    </w:p>
    <w:p w14:paraId="6058B670" w14:textId="613F8E4D" w:rsidR="004B2905" w:rsidRDefault="00A20361" w:rsidP="004B2905">
      <w:pPr>
        <w:spacing w:line="360" w:lineRule="auto"/>
        <w:jc w:val="both"/>
        <w:rPr>
          <w:sz w:val="22"/>
          <w:szCs w:val="22"/>
        </w:rPr>
      </w:pPr>
      <w:r>
        <w:rPr>
          <w:sz w:val="22"/>
          <w:szCs w:val="22"/>
        </w:rPr>
        <w:t>E</w:t>
      </w:r>
      <w:r w:rsidRPr="005B294B">
        <w:rPr>
          <w:sz w:val="22"/>
          <w:szCs w:val="22"/>
        </w:rPr>
        <w:t xml:space="preserve">conomic theory </w:t>
      </w:r>
      <w:r>
        <w:rPr>
          <w:rFonts w:hint="eastAsia"/>
          <w:sz w:val="22"/>
          <w:szCs w:val="22"/>
        </w:rPr>
        <w:t>suggests</w:t>
      </w:r>
      <w:r>
        <w:rPr>
          <w:sz w:val="22"/>
          <w:szCs w:val="22"/>
        </w:rPr>
        <w:t xml:space="preserve"> that </w:t>
      </w:r>
      <w:r w:rsidRPr="005B294B">
        <w:rPr>
          <w:sz w:val="22"/>
          <w:szCs w:val="22"/>
        </w:rPr>
        <w:t>global trade can potentially raise the living standard</w:t>
      </w:r>
      <w:r w:rsidR="0048210B">
        <w:rPr>
          <w:sz w:val="22"/>
          <w:szCs w:val="22"/>
        </w:rPr>
        <w:t>s</w:t>
      </w:r>
      <w:r w:rsidRPr="005B294B">
        <w:rPr>
          <w:sz w:val="22"/>
          <w:szCs w:val="22"/>
        </w:rPr>
        <w:t xml:space="preserve"> of all participant countries, </w:t>
      </w:r>
      <w:r>
        <w:rPr>
          <w:sz w:val="22"/>
          <w:szCs w:val="22"/>
        </w:rPr>
        <w:t>but the benefits are not distributed evenly within each country</w:t>
      </w:r>
      <w:r w:rsidRPr="005B294B">
        <w:rPr>
          <w:sz w:val="22"/>
          <w:szCs w:val="22"/>
        </w:rPr>
        <w:t>.</w:t>
      </w:r>
      <w:r>
        <w:rPr>
          <w:sz w:val="22"/>
          <w:szCs w:val="22"/>
        </w:rPr>
        <w:t xml:space="preserve"> </w:t>
      </w:r>
      <w:r w:rsidR="00236A3A">
        <w:rPr>
          <w:sz w:val="22"/>
          <w:szCs w:val="22"/>
        </w:rPr>
        <w:t>In fact, r</w:t>
      </w:r>
      <w:r>
        <w:rPr>
          <w:sz w:val="22"/>
          <w:szCs w:val="22"/>
        </w:rPr>
        <w:t>ecent studies document the decline in average household income (</w:t>
      </w:r>
      <w:r w:rsidRPr="005B294B">
        <w:rPr>
          <w:sz w:val="22"/>
          <w:szCs w:val="22"/>
        </w:rPr>
        <w:t>Autor et al., 201</w:t>
      </w:r>
      <w:r>
        <w:rPr>
          <w:sz w:val="22"/>
          <w:szCs w:val="22"/>
        </w:rPr>
        <w:t>3), business activity, and house values (</w:t>
      </w:r>
      <w:proofErr w:type="spellStart"/>
      <w:r w:rsidRPr="005B294B">
        <w:rPr>
          <w:rFonts w:hint="eastAsia"/>
          <w:sz w:val="22"/>
          <w:szCs w:val="22"/>
        </w:rPr>
        <w:t>Feler</w:t>
      </w:r>
      <w:proofErr w:type="spellEnd"/>
      <w:r w:rsidRPr="005B294B">
        <w:rPr>
          <w:rFonts w:hint="eastAsia"/>
          <w:sz w:val="22"/>
          <w:szCs w:val="22"/>
        </w:rPr>
        <w:t xml:space="preserve"> and Senses, 2017</w:t>
      </w:r>
      <w:r>
        <w:rPr>
          <w:sz w:val="22"/>
          <w:szCs w:val="22"/>
        </w:rPr>
        <w:t xml:space="preserve">) in places with more exposure to import competition from China. These decreases are likely to result in lower tax revenues for local and state governments, the main sources of </w:t>
      </w:r>
      <w:r w:rsidR="000277C2">
        <w:rPr>
          <w:sz w:val="22"/>
          <w:szCs w:val="22"/>
        </w:rPr>
        <w:t xml:space="preserve">funding </w:t>
      </w:r>
      <w:r>
        <w:rPr>
          <w:sz w:val="22"/>
          <w:szCs w:val="22"/>
        </w:rPr>
        <w:t>for public education. In this paper, I</w:t>
      </w:r>
      <w:r w:rsidR="00622A79" w:rsidRPr="00622A79">
        <w:rPr>
          <w:sz w:val="22"/>
          <w:szCs w:val="22"/>
        </w:rPr>
        <w:t xml:space="preserve"> </w:t>
      </w:r>
      <w:r w:rsidR="00622A79">
        <w:rPr>
          <w:sz w:val="22"/>
          <w:szCs w:val="22"/>
        </w:rPr>
        <w:t xml:space="preserve">examine whether and how </w:t>
      </w:r>
      <w:r w:rsidR="00622A79" w:rsidRPr="00C0634B">
        <w:rPr>
          <w:sz w:val="22"/>
          <w:szCs w:val="22"/>
        </w:rPr>
        <w:t xml:space="preserve">rising import competition from China </w:t>
      </w:r>
      <w:r w:rsidR="00622A79">
        <w:rPr>
          <w:sz w:val="22"/>
          <w:szCs w:val="22"/>
        </w:rPr>
        <w:t>has impacted public education expenditures</w:t>
      </w:r>
      <w:r>
        <w:rPr>
          <w:sz w:val="22"/>
          <w:szCs w:val="22"/>
        </w:rPr>
        <w:t>.</w:t>
      </w:r>
    </w:p>
    <w:p w14:paraId="698A4F10" w14:textId="4B5F3202" w:rsidR="004B2905" w:rsidRDefault="004B2905" w:rsidP="00115F5B">
      <w:pPr>
        <w:spacing w:line="360" w:lineRule="auto"/>
        <w:ind w:firstLine="720"/>
        <w:jc w:val="both"/>
        <w:rPr>
          <w:sz w:val="22"/>
          <w:szCs w:val="22"/>
        </w:rPr>
      </w:pPr>
      <w:r>
        <w:rPr>
          <w:sz w:val="22"/>
          <w:szCs w:val="22"/>
        </w:rPr>
        <w:t>I</w:t>
      </w:r>
      <w:r w:rsidRPr="004B2905">
        <w:rPr>
          <w:sz w:val="22"/>
          <w:szCs w:val="22"/>
        </w:rPr>
        <w:t>ncreasing import competition in the US has been found to widen the wage gap between skilled and unskilled workers (</w:t>
      </w:r>
      <w:proofErr w:type="spellStart"/>
      <w:r w:rsidRPr="004B2905">
        <w:rPr>
          <w:sz w:val="22"/>
          <w:szCs w:val="22"/>
        </w:rPr>
        <w:t>Feenstra</w:t>
      </w:r>
      <w:proofErr w:type="spellEnd"/>
      <w:r w:rsidRPr="004B2905">
        <w:rPr>
          <w:sz w:val="22"/>
          <w:szCs w:val="22"/>
        </w:rPr>
        <w:t xml:space="preserve"> and Hanson, 1996), decrease labor market opportunities for high-school dropouts (Greenland and </w:t>
      </w:r>
      <w:proofErr w:type="spellStart"/>
      <w:r w:rsidRPr="004B2905">
        <w:rPr>
          <w:sz w:val="22"/>
          <w:szCs w:val="22"/>
        </w:rPr>
        <w:t>Lopresti</w:t>
      </w:r>
      <w:proofErr w:type="spellEnd"/>
      <w:r w:rsidRPr="004B2905">
        <w:rPr>
          <w:sz w:val="22"/>
          <w:szCs w:val="22"/>
        </w:rPr>
        <w:t xml:space="preserve">, 2016) and impose more labor adjustment costs on low-skilled workers (Autor et al., 2014). With a </w:t>
      </w:r>
      <w:r w:rsidRPr="004B2905">
        <w:rPr>
          <w:rFonts w:hint="eastAsia"/>
          <w:sz w:val="22"/>
          <w:szCs w:val="22"/>
        </w:rPr>
        <w:t>shift</w:t>
      </w:r>
      <w:r w:rsidRPr="004B2905">
        <w:rPr>
          <w:sz w:val="22"/>
          <w:szCs w:val="22"/>
        </w:rPr>
        <w:t xml:space="preserve"> in </w:t>
      </w:r>
      <w:r>
        <w:rPr>
          <w:sz w:val="22"/>
          <w:szCs w:val="22"/>
        </w:rPr>
        <w:t xml:space="preserve">the </w:t>
      </w:r>
      <w:r w:rsidRPr="004B2905">
        <w:rPr>
          <w:sz w:val="22"/>
          <w:szCs w:val="22"/>
        </w:rPr>
        <w:t xml:space="preserve">relative return of education, </w:t>
      </w:r>
      <w:r>
        <w:rPr>
          <w:sz w:val="22"/>
          <w:szCs w:val="22"/>
        </w:rPr>
        <w:t xml:space="preserve">economic theory predicts that people should invest more in education. However, because public schools in the U.S. rely heavily on local government revenue for funding, the very areas hit hardest by import shocks may at the same time </w:t>
      </w:r>
      <w:r w:rsidR="00FC5A0D">
        <w:rPr>
          <w:sz w:val="22"/>
          <w:szCs w:val="22"/>
        </w:rPr>
        <w:t xml:space="preserve">have more difficulty collecting tax revenue to pay for school expenses. How much hardship this causes students depends on the ability of school districts to seek different sources of funding to compensate for any losses. It also depends on how much slack they have in their budgets. For example, if districts can postpone major capital investments to better economic times, the quality of student instruction may remain about the same despite decreases in overall expenditures. However, if school districts respond by decreasing expenditures on instruction, then all students living in areas affected by import shocks may experience learning deficiencies even if their own families </w:t>
      </w:r>
      <w:r w:rsidR="00115F5B">
        <w:rPr>
          <w:sz w:val="22"/>
          <w:szCs w:val="22"/>
        </w:rPr>
        <w:t xml:space="preserve">had no job loss. </w:t>
      </w:r>
    </w:p>
    <w:p w14:paraId="6B1F6D0F" w14:textId="43B6A637" w:rsidR="00513F63" w:rsidRDefault="00513F63" w:rsidP="00A20361">
      <w:pPr>
        <w:spacing w:line="360" w:lineRule="auto"/>
        <w:jc w:val="both"/>
        <w:rPr>
          <w:sz w:val="22"/>
          <w:szCs w:val="22"/>
        </w:rPr>
      </w:pPr>
      <w:r>
        <w:rPr>
          <w:sz w:val="22"/>
          <w:szCs w:val="22"/>
        </w:rPr>
        <w:tab/>
      </w:r>
      <w:r w:rsidR="000277C2">
        <w:rPr>
          <w:sz w:val="22"/>
          <w:szCs w:val="22"/>
        </w:rPr>
        <w:t xml:space="preserve">Exploiting variation in exposure to Chinese import shocks, </w:t>
      </w:r>
      <w:proofErr w:type="spellStart"/>
      <w:r w:rsidR="000277C2">
        <w:rPr>
          <w:sz w:val="22"/>
          <w:szCs w:val="22"/>
        </w:rPr>
        <w:t>Feler</w:t>
      </w:r>
      <w:proofErr w:type="spellEnd"/>
      <w:r w:rsidR="000277C2">
        <w:rPr>
          <w:sz w:val="22"/>
          <w:szCs w:val="22"/>
        </w:rPr>
        <w:t xml:space="preserve"> and Senses (2017) show that local governments in areas hit hardest by import shocks spend less per capita on public welfare, public transport, public housing, and </w:t>
      </w:r>
      <w:r w:rsidR="00B84F8E">
        <w:rPr>
          <w:sz w:val="22"/>
          <w:szCs w:val="22"/>
        </w:rPr>
        <w:t xml:space="preserve">public education. They also find that state and federal intergovernmental transfers are not able to compensate local areas for their losses in revenue and so the quality of </w:t>
      </w:r>
      <w:proofErr w:type="gramStart"/>
      <w:r w:rsidR="00B84F8E">
        <w:rPr>
          <w:sz w:val="22"/>
          <w:szCs w:val="22"/>
        </w:rPr>
        <w:t>locally-supplied</w:t>
      </w:r>
      <w:proofErr w:type="gramEnd"/>
      <w:r w:rsidR="00B84F8E">
        <w:rPr>
          <w:sz w:val="22"/>
          <w:szCs w:val="22"/>
        </w:rPr>
        <w:t xml:space="preserve"> public services decreases. </w:t>
      </w:r>
      <w:r w:rsidR="00647EAD">
        <w:rPr>
          <w:sz w:val="22"/>
          <w:szCs w:val="22"/>
        </w:rPr>
        <w:t xml:space="preserve">Given the importance of providing quality education to future workers who can no longer rely on high paid manufacturing jobs, I look more carefully at the relationship between import shocks and expenditures on public schools. After </w:t>
      </w:r>
      <w:r w:rsidR="00647EAD" w:rsidRPr="00647EAD">
        <w:rPr>
          <w:sz w:val="22"/>
          <w:szCs w:val="22"/>
        </w:rPr>
        <w:t xml:space="preserve">replicating </w:t>
      </w:r>
      <w:proofErr w:type="spellStart"/>
      <w:r w:rsidR="00647EAD" w:rsidRPr="00647EAD">
        <w:rPr>
          <w:sz w:val="22"/>
          <w:szCs w:val="22"/>
        </w:rPr>
        <w:t>Feler</w:t>
      </w:r>
      <w:proofErr w:type="spellEnd"/>
      <w:r w:rsidR="00647EAD">
        <w:rPr>
          <w:sz w:val="22"/>
          <w:szCs w:val="22"/>
        </w:rPr>
        <w:t xml:space="preserve"> and Senses</w:t>
      </w:r>
      <w:r w:rsidR="00647EAD" w:rsidRPr="00647EAD">
        <w:rPr>
          <w:sz w:val="22"/>
          <w:szCs w:val="22"/>
        </w:rPr>
        <w:t xml:space="preserve">’ result that rising import competition decreases </w:t>
      </w:r>
      <w:r w:rsidR="006E2500">
        <w:rPr>
          <w:sz w:val="22"/>
          <w:szCs w:val="22"/>
        </w:rPr>
        <w:t>general expenditures</w:t>
      </w:r>
      <w:r w:rsidR="00647EAD" w:rsidRPr="00647EAD">
        <w:rPr>
          <w:sz w:val="22"/>
          <w:szCs w:val="22"/>
        </w:rPr>
        <w:t xml:space="preserve"> on public education</w:t>
      </w:r>
      <w:r w:rsidR="00647EAD">
        <w:rPr>
          <w:sz w:val="22"/>
          <w:szCs w:val="22"/>
        </w:rPr>
        <w:t xml:space="preserve"> using my data, I </w:t>
      </w:r>
      <w:r w:rsidR="006E2500">
        <w:rPr>
          <w:sz w:val="22"/>
          <w:szCs w:val="22"/>
        </w:rPr>
        <w:t xml:space="preserve">provide evidence that the bulk of the decrease is driven by state funding decreases and then </w:t>
      </w:r>
      <w:r w:rsidR="00647EAD">
        <w:rPr>
          <w:sz w:val="22"/>
          <w:szCs w:val="22"/>
        </w:rPr>
        <w:t xml:space="preserve">go on to </w:t>
      </w:r>
      <w:r w:rsidR="006E2500">
        <w:rPr>
          <w:sz w:val="22"/>
          <w:szCs w:val="22"/>
        </w:rPr>
        <w:t xml:space="preserve">examine which types of school spending are most sensitive to import induced revenue losses. </w:t>
      </w:r>
    </w:p>
    <w:p w14:paraId="466D39C5" w14:textId="61D3262B" w:rsidR="00202AE3" w:rsidRDefault="00115F5B" w:rsidP="00115F5B">
      <w:pPr>
        <w:spacing w:line="360" w:lineRule="auto"/>
        <w:ind w:firstLine="720"/>
        <w:jc w:val="both"/>
        <w:rPr>
          <w:sz w:val="22"/>
          <w:szCs w:val="22"/>
        </w:rPr>
      </w:pPr>
      <w:r>
        <w:rPr>
          <w:sz w:val="22"/>
          <w:szCs w:val="22"/>
        </w:rPr>
        <w:lastRenderedPageBreak/>
        <w:t xml:space="preserve">I </w:t>
      </w:r>
      <w:r w:rsidR="00202AE3">
        <w:rPr>
          <w:sz w:val="22"/>
          <w:szCs w:val="22"/>
        </w:rPr>
        <w:t>start with</w:t>
      </w:r>
      <w:r w:rsidRPr="00115F5B">
        <w:rPr>
          <w:sz w:val="22"/>
          <w:szCs w:val="22"/>
        </w:rPr>
        <w:t xml:space="preserve"> data </w:t>
      </w:r>
      <w:r>
        <w:rPr>
          <w:sz w:val="22"/>
          <w:szCs w:val="22"/>
        </w:rPr>
        <w:t xml:space="preserve">from the </w:t>
      </w:r>
      <w:r w:rsidRPr="00115F5B">
        <w:rPr>
          <w:sz w:val="22"/>
          <w:szCs w:val="22"/>
        </w:rPr>
        <w:t xml:space="preserve">National Center for Education Statistics </w:t>
      </w:r>
      <w:r>
        <w:rPr>
          <w:sz w:val="22"/>
          <w:szCs w:val="22"/>
        </w:rPr>
        <w:t xml:space="preserve">(NCES) </w:t>
      </w:r>
      <w:r w:rsidRPr="00115F5B">
        <w:rPr>
          <w:sz w:val="22"/>
          <w:szCs w:val="22"/>
        </w:rPr>
        <w:t>on school expenditure</w:t>
      </w:r>
      <w:r>
        <w:rPr>
          <w:sz w:val="22"/>
          <w:szCs w:val="22"/>
        </w:rPr>
        <w:t>s</w:t>
      </w:r>
      <w:r w:rsidRPr="00115F5B">
        <w:rPr>
          <w:sz w:val="22"/>
          <w:szCs w:val="22"/>
        </w:rPr>
        <w:t xml:space="preserve"> and revenue</w:t>
      </w:r>
      <w:r>
        <w:rPr>
          <w:sz w:val="22"/>
          <w:szCs w:val="22"/>
        </w:rPr>
        <w:t>s</w:t>
      </w:r>
      <w:r w:rsidRPr="00115F5B">
        <w:rPr>
          <w:sz w:val="22"/>
          <w:szCs w:val="22"/>
        </w:rPr>
        <w:t xml:space="preserve"> at </w:t>
      </w:r>
      <w:r w:rsidR="00202AE3">
        <w:rPr>
          <w:sz w:val="22"/>
          <w:szCs w:val="22"/>
        </w:rPr>
        <w:t xml:space="preserve">the </w:t>
      </w:r>
      <w:r w:rsidRPr="00115F5B">
        <w:rPr>
          <w:sz w:val="22"/>
          <w:szCs w:val="22"/>
        </w:rPr>
        <w:t>school district level</w:t>
      </w:r>
      <w:r w:rsidR="00861571">
        <w:rPr>
          <w:sz w:val="22"/>
          <w:szCs w:val="22"/>
        </w:rPr>
        <w:t xml:space="preserve"> between 1991 and 2007</w:t>
      </w:r>
      <w:r w:rsidR="00202AE3">
        <w:rPr>
          <w:sz w:val="22"/>
          <w:szCs w:val="22"/>
        </w:rPr>
        <w:t>.</w:t>
      </w:r>
      <w:r>
        <w:rPr>
          <w:rStyle w:val="FootnoteReference"/>
          <w:sz w:val="22"/>
          <w:szCs w:val="22"/>
        </w:rPr>
        <w:footnoteReference w:id="2"/>
      </w:r>
      <w:r w:rsidRPr="00115F5B">
        <w:rPr>
          <w:sz w:val="22"/>
          <w:szCs w:val="22"/>
        </w:rPr>
        <w:t xml:space="preserve"> </w:t>
      </w:r>
      <w:r w:rsidR="00202AE3">
        <w:rPr>
          <w:sz w:val="22"/>
          <w:szCs w:val="22"/>
        </w:rPr>
        <w:t>Using a crosswalk between schools districts and commuting zones (an often-used measure of local labor markets), I then assign to each district a commuting-zone level measure of Chinese</w:t>
      </w:r>
      <w:r w:rsidR="00202AE3" w:rsidRPr="00202AE3">
        <w:rPr>
          <w:sz w:val="22"/>
          <w:szCs w:val="22"/>
        </w:rPr>
        <w:t xml:space="preserve"> import exposure per worker</w:t>
      </w:r>
      <w:r w:rsidR="00202AE3">
        <w:rPr>
          <w:sz w:val="22"/>
          <w:szCs w:val="22"/>
        </w:rPr>
        <w:t>,</w:t>
      </w:r>
      <w:r w:rsidR="00202AE3" w:rsidRPr="00202AE3">
        <w:rPr>
          <w:sz w:val="22"/>
          <w:szCs w:val="22"/>
        </w:rPr>
        <w:t xml:space="preserve"> developed in Autor et al. (2013), which exploits variation in initial industry composition across local labor markets and variation in magnitudes of trade shocks across industries</w:t>
      </w:r>
      <w:r w:rsidR="00202AE3">
        <w:rPr>
          <w:sz w:val="22"/>
          <w:szCs w:val="22"/>
        </w:rPr>
        <w:t xml:space="preserve">. </w:t>
      </w:r>
    </w:p>
    <w:p w14:paraId="3C574A16" w14:textId="0A0802C0" w:rsidR="00202AE3" w:rsidRDefault="00091817" w:rsidP="00115F5B">
      <w:pPr>
        <w:spacing w:line="360" w:lineRule="auto"/>
        <w:ind w:firstLine="720"/>
        <w:jc w:val="both"/>
        <w:rPr>
          <w:sz w:val="22"/>
          <w:szCs w:val="22"/>
        </w:rPr>
      </w:pPr>
      <w:r>
        <w:rPr>
          <w:sz w:val="22"/>
          <w:szCs w:val="22"/>
        </w:rPr>
        <w:t xml:space="preserve">Consistent with the findings of </w:t>
      </w:r>
      <w:proofErr w:type="spellStart"/>
      <w:r>
        <w:rPr>
          <w:sz w:val="22"/>
          <w:szCs w:val="22"/>
        </w:rPr>
        <w:t>Feler</w:t>
      </w:r>
      <w:proofErr w:type="spellEnd"/>
      <w:r>
        <w:rPr>
          <w:sz w:val="22"/>
          <w:szCs w:val="22"/>
        </w:rPr>
        <w:t xml:space="preserve"> and Senses (2017), I find that exposure to Chinese import competition is associated with decreases in </w:t>
      </w:r>
      <w:r w:rsidRPr="00091817">
        <w:rPr>
          <w:sz w:val="22"/>
          <w:szCs w:val="22"/>
        </w:rPr>
        <w:t xml:space="preserve">per pupil </w:t>
      </w:r>
      <w:r>
        <w:rPr>
          <w:sz w:val="22"/>
          <w:szCs w:val="22"/>
        </w:rPr>
        <w:t xml:space="preserve">school </w:t>
      </w:r>
      <w:r w:rsidRPr="00091817">
        <w:rPr>
          <w:sz w:val="22"/>
          <w:szCs w:val="22"/>
        </w:rPr>
        <w:t>expenditures</w:t>
      </w:r>
      <w:r>
        <w:rPr>
          <w:sz w:val="22"/>
          <w:szCs w:val="22"/>
        </w:rPr>
        <w:t>. Using the commonly used instrumental variables technique for identifying the impact of Chinese import exposure (</w:t>
      </w:r>
      <w:r w:rsidR="00861571" w:rsidRPr="00861571">
        <w:rPr>
          <w:sz w:val="22"/>
          <w:szCs w:val="22"/>
        </w:rPr>
        <w:t xml:space="preserve">Autor et al., 2018, </w:t>
      </w:r>
      <w:proofErr w:type="spellStart"/>
      <w:r w:rsidR="00861571" w:rsidRPr="00861571">
        <w:rPr>
          <w:sz w:val="22"/>
          <w:szCs w:val="22"/>
        </w:rPr>
        <w:t>Balsvik</w:t>
      </w:r>
      <w:proofErr w:type="spellEnd"/>
      <w:r w:rsidR="00861571" w:rsidRPr="00861571">
        <w:rPr>
          <w:sz w:val="22"/>
          <w:szCs w:val="22"/>
        </w:rPr>
        <w:t xml:space="preserve"> et al, 2015, </w:t>
      </w:r>
      <w:proofErr w:type="spellStart"/>
      <w:r w:rsidR="00861571" w:rsidRPr="00861571">
        <w:rPr>
          <w:sz w:val="22"/>
          <w:szCs w:val="22"/>
        </w:rPr>
        <w:t>Feenstra</w:t>
      </w:r>
      <w:proofErr w:type="spellEnd"/>
      <w:r w:rsidR="00861571" w:rsidRPr="00861571">
        <w:rPr>
          <w:sz w:val="22"/>
          <w:szCs w:val="22"/>
        </w:rPr>
        <w:t xml:space="preserve"> et al., 2017, </w:t>
      </w:r>
      <w:proofErr w:type="spellStart"/>
      <w:r w:rsidR="00861571" w:rsidRPr="00861571">
        <w:rPr>
          <w:sz w:val="22"/>
          <w:szCs w:val="22"/>
        </w:rPr>
        <w:t>Feler</w:t>
      </w:r>
      <w:proofErr w:type="spellEnd"/>
      <w:r w:rsidR="00861571" w:rsidRPr="00861571">
        <w:rPr>
          <w:sz w:val="22"/>
          <w:szCs w:val="22"/>
        </w:rPr>
        <w:t xml:space="preserve"> and Senses, 2017, Greenland and </w:t>
      </w:r>
      <w:proofErr w:type="spellStart"/>
      <w:r w:rsidR="00861571" w:rsidRPr="00861571">
        <w:rPr>
          <w:sz w:val="22"/>
          <w:szCs w:val="22"/>
        </w:rPr>
        <w:t>Lopresti</w:t>
      </w:r>
      <w:proofErr w:type="spellEnd"/>
      <w:r w:rsidR="00861571" w:rsidRPr="00861571">
        <w:rPr>
          <w:sz w:val="22"/>
          <w:szCs w:val="22"/>
        </w:rPr>
        <w:t>, 2016, Greenland et al., 2019, Yi et al., 2018</w:t>
      </w:r>
      <w:r w:rsidRPr="00091817">
        <w:rPr>
          <w:sz w:val="22"/>
          <w:szCs w:val="22"/>
        </w:rPr>
        <w:t>)</w:t>
      </w:r>
      <w:r>
        <w:rPr>
          <w:sz w:val="22"/>
          <w:szCs w:val="22"/>
        </w:rPr>
        <w:t xml:space="preserve">, I find </w:t>
      </w:r>
      <w:r w:rsidRPr="00091817">
        <w:rPr>
          <w:sz w:val="22"/>
          <w:szCs w:val="22"/>
        </w:rPr>
        <w:t xml:space="preserve">that for every $1000 increase in a </w:t>
      </w:r>
      <w:r>
        <w:rPr>
          <w:sz w:val="22"/>
          <w:szCs w:val="22"/>
        </w:rPr>
        <w:t>commuting zone’s</w:t>
      </w:r>
      <w:r w:rsidRPr="00091817">
        <w:rPr>
          <w:sz w:val="22"/>
          <w:szCs w:val="22"/>
        </w:rPr>
        <w:t xml:space="preserve"> import exposure per worker</w:t>
      </w:r>
      <w:r>
        <w:rPr>
          <w:sz w:val="22"/>
          <w:szCs w:val="22"/>
        </w:rPr>
        <w:t>,</w:t>
      </w:r>
      <w:r w:rsidRPr="00091817">
        <w:rPr>
          <w:sz w:val="22"/>
          <w:szCs w:val="22"/>
        </w:rPr>
        <w:t xml:space="preserve"> per-pupil </w:t>
      </w:r>
      <w:r w:rsidR="00861571">
        <w:rPr>
          <w:sz w:val="22"/>
          <w:szCs w:val="22"/>
        </w:rPr>
        <w:t xml:space="preserve">total </w:t>
      </w:r>
      <w:r w:rsidRPr="00091817">
        <w:rPr>
          <w:sz w:val="22"/>
          <w:szCs w:val="22"/>
        </w:rPr>
        <w:t xml:space="preserve">expenditures </w:t>
      </w:r>
      <w:r>
        <w:rPr>
          <w:sz w:val="22"/>
          <w:szCs w:val="22"/>
        </w:rPr>
        <w:t xml:space="preserve">in school districts in that commuting zone </w:t>
      </w:r>
      <w:r w:rsidRPr="00091817">
        <w:rPr>
          <w:sz w:val="22"/>
          <w:szCs w:val="22"/>
        </w:rPr>
        <w:t xml:space="preserve">decrease by $250 and per-pupil </w:t>
      </w:r>
      <w:r w:rsidR="00861571">
        <w:rPr>
          <w:sz w:val="22"/>
          <w:szCs w:val="22"/>
        </w:rPr>
        <w:t xml:space="preserve">total </w:t>
      </w:r>
      <w:r w:rsidRPr="00091817">
        <w:rPr>
          <w:sz w:val="22"/>
          <w:szCs w:val="22"/>
        </w:rPr>
        <w:t>revenues decrease by $262</w:t>
      </w:r>
      <w:r>
        <w:rPr>
          <w:sz w:val="22"/>
          <w:szCs w:val="22"/>
        </w:rPr>
        <w:t>.</w:t>
      </w:r>
      <w:r w:rsidR="00A977F7">
        <w:rPr>
          <w:sz w:val="22"/>
          <w:szCs w:val="22"/>
        </w:rPr>
        <w:t xml:space="preserve"> Given the evidence causally linking school expenditures and test scores and graduation rates </w:t>
      </w:r>
      <w:r w:rsidR="00A977F7" w:rsidRPr="00A977F7">
        <w:rPr>
          <w:sz w:val="22"/>
          <w:szCs w:val="22"/>
        </w:rPr>
        <w:t>(see Jackson 2018 for a review)</w:t>
      </w:r>
      <w:r w:rsidR="00A977F7">
        <w:rPr>
          <w:sz w:val="22"/>
          <w:szCs w:val="22"/>
        </w:rPr>
        <w:t xml:space="preserve">, this decrease is likely to have substantial impacts on the ability of students to adjust to the changing labor market. </w:t>
      </w:r>
    </w:p>
    <w:p w14:paraId="50109281" w14:textId="0B59C0AC" w:rsidR="005D6EC7" w:rsidRDefault="00A977F7" w:rsidP="005D6EC7">
      <w:pPr>
        <w:spacing w:line="360" w:lineRule="auto"/>
        <w:ind w:firstLine="720"/>
        <w:jc w:val="both"/>
        <w:rPr>
          <w:sz w:val="22"/>
          <w:szCs w:val="22"/>
        </w:rPr>
      </w:pPr>
      <w:r>
        <w:rPr>
          <w:sz w:val="22"/>
          <w:szCs w:val="22"/>
        </w:rPr>
        <w:t>For making policy recommendations on how to address these types of funding decreases, it is important to know whether they are driven by changes in school district revenue from the local government, state government or federal government. L</w:t>
      </w:r>
      <w:r w:rsidRPr="00C3208B">
        <w:rPr>
          <w:sz w:val="22"/>
          <w:szCs w:val="22"/>
        </w:rPr>
        <w:t xml:space="preserve">ocal governments primarily rely on property taxes for revenue, while state and federal governments rely on mostly income and sales taxes. </w:t>
      </w:r>
      <w:r w:rsidR="00964162" w:rsidRPr="00C3208B">
        <w:rPr>
          <w:sz w:val="22"/>
          <w:szCs w:val="22"/>
        </w:rPr>
        <w:t>Given the evidence that Chinese import shocks decrease housing values (</w:t>
      </w:r>
      <w:proofErr w:type="spellStart"/>
      <w:r w:rsidR="00964162" w:rsidRPr="00C3208B">
        <w:rPr>
          <w:sz w:val="22"/>
          <w:szCs w:val="22"/>
        </w:rPr>
        <w:t>Feler</w:t>
      </w:r>
      <w:proofErr w:type="spellEnd"/>
      <w:r w:rsidR="00964162" w:rsidRPr="00C3208B">
        <w:rPr>
          <w:sz w:val="22"/>
          <w:szCs w:val="22"/>
        </w:rPr>
        <w:t xml:space="preserve"> and Senses 2017), we may expect school district revenue from local governments to decrease if tax rates do not increase. Similarly, g</w:t>
      </w:r>
      <w:r w:rsidRPr="00C3208B">
        <w:rPr>
          <w:sz w:val="22"/>
          <w:szCs w:val="22"/>
        </w:rPr>
        <w:t>iven the evidence that rising import competition increases unemployment rates (</w:t>
      </w:r>
      <w:proofErr w:type="spellStart"/>
      <w:r w:rsidRPr="00C3208B">
        <w:rPr>
          <w:sz w:val="22"/>
          <w:szCs w:val="22"/>
        </w:rPr>
        <w:t>Acemoğlu</w:t>
      </w:r>
      <w:proofErr w:type="spellEnd"/>
      <w:r w:rsidRPr="00C3208B">
        <w:rPr>
          <w:sz w:val="22"/>
          <w:szCs w:val="22"/>
        </w:rPr>
        <w:t xml:space="preserve"> et al., 2016; Charles et al., 2013), decreases household incomes, and increases government transfer payments (Autor et al., 2013), states </w:t>
      </w:r>
      <w:r w:rsidR="00964162" w:rsidRPr="00C3208B">
        <w:rPr>
          <w:sz w:val="22"/>
          <w:szCs w:val="22"/>
        </w:rPr>
        <w:t xml:space="preserve">that are more negatively affected by Chinese import shocks are likely to collect less revenue and so will have less to distribute to school districts throughout the state. At the same time, it is possible that the federal government compensates districts with large losses in local and state-generated revenue. </w:t>
      </w:r>
      <w:r w:rsidR="00A017A3" w:rsidRPr="00C3208B">
        <w:rPr>
          <w:sz w:val="22"/>
          <w:szCs w:val="22"/>
        </w:rPr>
        <w:t>My analysis suggests that the decrease in per-pupil revenue is mainly driven by decreases in state revenue, presumably a result of decreases in sales and state income tax.</w:t>
      </w:r>
      <w:r w:rsidR="004D4C71" w:rsidRPr="004D4C71">
        <w:rPr>
          <w:sz w:val="22"/>
          <w:szCs w:val="22"/>
        </w:rPr>
        <w:t xml:space="preserve"> </w:t>
      </w:r>
      <w:r w:rsidR="004D4C71">
        <w:rPr>
          <w:sz w:val="22"/>
          <w:szCs w:val="22"/>
        </w:rPr>
        <w:t>I also find no evidence suggesting th</w:t>
      </w:r>
      <w:r w:rsidR="00B44B52">
        <w:rPr>
          <w:sz w:val="22"/>
          <w:szCs w:val="22"/>
        </w:rPr>
        <w:t>at</w:t>
      </w:r>
      <w:r w:rsidR="004D4C71">
        <w:rPr>
          <w:sz w:val="22"/>
          <w:szCs w:val="22"/>
        </w:rPr>
        <w:t xml:space="preserve"> state governments compensate those </w:t>
      </w:r>
      <w:r w:rsidR="005D6EC7">
        <w:rPr>
          <w:sz w:val="22"/>
          <w:szCs w:val="22"/>
        </w:rPr>
        <w:t xml:space="preserve">school districts within the state that are </w:t>
      </w:r>
      <w:r w:rsidR="004D4C71">
        <w:rPr>
          <w:sz w:val="22"/>
          <w:szCs w:val="22"/>
        </w:rPr>
        <w:t xml:space="preserve">most negatively affected </w:t>
      </w:r>
      <w:r w:rsidR="005D6EC7">
        <w:rPr>
          <w:sz w:val="22"/>
          <w:szCs w:val="22"/>
        </w:rPr>
        <w:t>by import shocks</w:t>
      </w:r>
      <w:r w:rsidR="004D4C71">
        <w:rPr>
          <w:sz w:val="22"/>
          <w:szCs w:val="22"/>
        </w:rPr>
        <w:t xml:space="preserve">. </w:t>
      </w:r>
      <w:r w:rsidR="00A017A3" w:rsidRPr="00C3208B">
        <w:rPr>
          <w:sz w:val="22"/>
          <w:szCs w:val="22"/>
        </w:rPr>
        <w:t xml:space="preserve">The loss in revenue from local governments is small and statistically insignificant suggesting that either the </w:t>
      </w:r>
      <w:r w:rsidR="00A017A3" w:rsidRPr="00C3208B">
        <w:rPr>
          <w:sz w:val="22"/>
          <w:szCs w:val="22"/>
        </w:rPr>
        <w:lastRenderedPageBreak/>
        <w:t>decreases in property values do not quickly result in large changes in tax collection or, if they do, local governments prioritize school funding over other types</w:t>
      </w:r>
      <w:r w:rsidR="00A017A3">
        <w:rPr>
          <w:i/>
          <w:sz w:val="22"/>
          <w:szCs w:val="22"/>
        </w:rPr>
        <w:t xml:space="preserve"> </w:t>
      </w:r>
      <w:r w:rsidR="00A017A3" w:rsidRPr="00C3208B">
        <w:rPr>
          <w:sz w:val="22"/>
          <w:szCs w:val="22"/>
        </w:rPr>
        <w:t>of expenditures. There are also no statistically significant changes in school district revenues from the federal government suggesting that the federal government does not increase funding to school districts most negatively affected by the loss of manufacturing jobs.</w:t>
      </w:r>
      <w:r w:rsidR="0016430B" w:rsidRPr="00C3208B">
        <w:rPr>
          <w:sz w:val="22"/>
          <w:szCs w:val="22"/>
        </w:rPr>
        <w:t xml:space="preserve"> </w:t>
      </w:r>
      <w:r w:rsidR="005D6EC7">
        <w:rPr>
          <w:sz w:val="22"/>
          <w:szCs w:val="22"/>
        </w:rPr>
        <w:t>All of these</w:t>
      </w:r>
      <w:r w:rsidR="004D4C71">
        <w:rPr>
          <w:sz w:val="22"/>
          <w:szCs w:val="22"/>
        </w:rPr>
        <w:t xml:space="preserve"> findings </w:t>
      </w:r>
      <w:r w:rsidR="005D6EC7">
        <w:rPr>
          <w:sz w:val="22"/>
          <w:szCs w:val="22"/>
        </w:rPr>
        <w:t xml:space="preserve">are robust to </w:t>
      </w:r>
      <w:r w:rsidR="004D4C71">
        <w:rPr>
          <w:sz w:val="22"/>
          <w:szCs w:val="22"/>
        </w:rPr>
        <w:t xml:space="preserve">using different measures of import exposures. </w:t>
      </w:r>
    </w:p>
    <w:p w14:paraId="1E1871A7" w14:textId="124DC83D" w:rsidR="00A20361" w:rsidRPr="00894C31" w:rsidRDefault="00A017A3" w:rsidP="005D6EC7">
      <w:pPr>
        <w:spacing w:line="360" w:lineRule="auto"/>
        <w:ind w:firstLine="720"/>
        <w:jc w:val="both"/>
        <w:rPr>
          <w:sz w:val="22"/>
          <w:szCs w:val="22"/>
        </w:rPr>
      </w:pPr>
      <w:r w:rsidRPr="00C3208B">
        <w:rPr>
          <w:sz w:val="22"/>
          <w:szCs w:val="22"/>
        </w:rPr>
        <w:t xml:space="preserve">Next, I examine which types of school district </w:t>
      </w:r>
      <w:r w:rsidR="008D789C" w:rsidRPr="00C3208B">
        <w:rPr>
          <w:sz w:val="22"/>
          <w:szCs w:val="22"/>
        </w:rPr>
        <w:t xml:space="preserve">expenditures are most sensitive to the decrease in revenues. After all, if there is slack in school district budgets, then school districts may be able to weather temporary losses in revenue by simply decreasing community outreach activities or postponing capital investments. My estimates, however, suggest that Chinese import induced school district revenue losses result in decreases </w:t>
      </w:r>
      <w:r w:rsidR="00A20361" w:rsidRPr="005B294B">
        <w:rPr>
          <w:sz w:val="22"/>
          <w:szCs w:val="22"/>
        </w:rPr>
        <w:t xml:space="preserve">in per-pupil instruction expenditure including salaries and benefits for teachers and teacher aides, textbooks, </w:t>
      </w:r>
      <w:r w:rsidR="008D789C">
        <w:rPr>
          <w:sz w:val="22"/>
          <w:szCs w:val="22"/>
        </w:rPr>
        <w:t xml:space="preserve">and </w:t>
      </w:r>
      <w:r w:rsidR="00A20361" w:rsidRPr="005B294B">
        <w:rPr>
          <w:sz w:val="22"/>
          <w:szCs w:val="22"/>
        </w:rPr>
        <w:t xml:space="preserve">supplies and purchased services, which </w:t>
      </w:r>
      <w:r w:rsidR="00583D50">
        <w:rPr>
          <w:sz w:val="22"/>
          <w:szCs w:val="22"/>
        </w:rPr>
        <w:t>has</w:t>
      </w:r>
      <w:r w:rsidR="00583D50" w:rsidRPr="005B294B">
        <w:rPr>
          <w:sz w:val="22"/>
          <w:szCs w:val="22"/>
        </w:rPr>
        <w:t xml:space="preserve"> </w:t>
      </w:r>
      <w:r w:rsidR="00A20361" w:rsidRPr="005B294B">
        <w:rPr>
          <w:sz w:val="22"/>
          <w:szCs w:val="22"/>
        </w:rPr>
        <w:t>been found to be crucial to student achievement</w:t>
      </w:r>
      <w:r w:rsidR="008D789C">
        <w:rPr>
          <w:sz w:val="22"/>
          <w:szCs w:val="22"/>
        </w:rPr>
        <w:t xml:space="preserve"> (</w:t>
      </w:r>
      <w:r w:rsidR="00894C31" w:rsidRPr="00894C31">
        <w:rPr>
          <w:sz w:val="22"/>
          <w:szCs w:val="22"/>
        </w:rPr>
        <w:t xml:space="preserve">Jacques and </w:t>
      </w:r>
      <w:proofErr w:type="spellStart"/>
      <w:r w:rsidR="00894C31" w:rsidRPr="00894C31">
        <w:rPr>
          <w:sz w:val="22"/>
          <w:szCs w:val="22"/>
        </w:rPr>
        <w:t>Brorsen</w:t>
      </w:r>
      <w:proofErr w:type="spellEnd"/>
      <w:r w:rsidR="00894C31" w:rsidRPr="00894C31">
        <w:rPr>
          <w:sz w:val="22"/>
          <w:szCs w:val="22"/>
        </w:rPr>
        <w:t>, 2002</w:t>
      </w:r>
      <w:r w:rsidR="008D789C">
        <w:rPr>
          <w:sz w:val="22"/>
          <w:szCs w:val="22"/>
        </w:rPr>
        <w:t>)</w:t>
      </w:r>
      <w:r w:rsidR="00A20361" w:rsidRPr="005B294B">
        <w:rPr>
          <w:sz w:val="22"/>
          <w:szCs w:val="22"/>
        </w:rPr>
        <w:t xml:space="preserve">. </w:t>
      </w:r>
    </w:p>
    <w:p w14:paraId="2ACCC3EC" w14:textId="2F3CD806" w:rsidR="00A20361" w:rsidRDefault="00A20361" w:rsidP="004D722E">
      <w:pPr>
        <w:widowControl w:val="0"/>
        <w:autoSpaceDE w:val="0"/>
        <w:autoSpaceDN w:val="0"/>
        <w:adjustRightInd w:val="0"/>
        <w:spacing w:line="360" w:lineRule="auto"/>
        <w:jc w:val="both"/>
        <w:rPr>
          <w:sz w:val="22"/>
          <w:szCs w:val="22"/>
        </w:rPr>
      </w:pPr>
      <w:r>
        <w:rPr>
          <w:sz w:val="22"/>
          <w:szCs w:val="22"/>
        </w:rPr>
        <w:t xml:space="preserve">            </w:t>
      </w:r>
      <w:r w:rsidR="0016430B">
        <w:rPr>
          <w:sz w:val="22"/>
          <w:szCs w:val="22"/>
        </w:rPr>
        <w:t>The paper ends with an examination of the channels through which trade shocks may affect school district resources. One possibility</w:t>
      </w:r>
      <w:r w:rsidR="004D722E">
        <w:rPr>
          <w:sz w:val="22"/>
          <w:szCs w:val="22"/>
        </w:rPr>
        <w:t xml:space="preserve"> is that, facing poor labor market prospects and worse funded public schools, the relatively </w:t>
      </w:r>
      <w:r w:rsidR="0081497C">
        <w:rPr>
          <w:sz w:val="22"/>
          <w:szCs w:val="22"/>
        </w:rPr>
        <w:t>high-income</w:t>
      </w:r>
      <w:r w:rsidR="004D722E">
        <w:rPr>
          <w:sz w:val="22"/>
          <w:szCs w:val="22"/>
        </w:rPr>
        <w:t xml:space="preserve"> residents leave states with more exposure to Chinese import exposure. This type of migration would exacerbate any direct effects of Chinese import exposure on state and local revenues. To examine whether this is likely to play a role, I consider the impact of import exposure on </w:t>
      </w:r>
      <w:r>
        <w:rPr>
          <w:sz w:val="22"/>
          <w:szCs w:val="22"/>
        </w:rPr>
        <w:t>the total number of students enrolled</w:t>
      </w:r>
      <w:r w:rsidR="004D722E">
        <w:rPr>
          <w:sz w:val="22"/>
          <w:szCs w:val="22"/>
        </w:rPr>
        <w:t xml:space="preserve"> in the school district</w:t>
      </w:r>
      <w:r>
        <w:rPr>
          <w:sz w:val="22"/>
          <w:szCs w:val="22"/>
        </w:rPr>
        <w:t xml:space="preserve">. </w:t>
      </w:r>
      <w:r w:rsidR="004D722E">
        <w:rPr>
          <w:sz w:val="22"/>
          <w:szCs w:val="22"/>
        </w:rPr>
        <w:t xml:space="preserve">I find that </w:t>
      </w:r>
      <w:r w:rsidRPr="005B294B">
        <w:rPr>
          <w:sz w:val="22"/>
          <w:szCs w:val="22"/>
        </w:rPr>
        <w:t>enrollment does</w:t>
      </w:r>
      <w:r w:rsidR="004D722E">
        <w:rPr>
          <w:sz w:val="22"/>
          <w:szCs w:val="22"/>
        </w:rPr>
        <w:t xml:space="preserve"> </w:t>
      </w:r>
      <w:r w:rsidRPr="005B294B">
        <w:rPr>
          <w:sz w:val="22"/>
          <w:szCs w:val="22"/>
        </w:rPr>
        <w:t>n</w:t>
      </w:r>
      <w:r w:rsidR="004D722E">
        <w:rPr>
          <w:sz w:val="22"/>
          <w:szCs w:val="22"/>
        </w:rPr>
        <w:t>o</w:t>
      </w:r>
      <w:r w:rsidRPr="005B294B">
        <w:rPr>
          <w:sz w:val="22"/>
          <w:szCs w:val="22"/>
        </w:rPr>
        <w:t>t significantly change with rising import competition</w:t>
      </w:r>
      <w:r w:rsidR="004D722E">
        <w:rPr>
          <w:sz w:val="22"/>
          <w:szCs w:val="22"/>
        </w:rPr>
        <w:t xml:space="preserve">, a result consistent with the findings of Autor et al. (2013) that migration responses to trade </w:t>
      </w:r>
      <w:proofErr w:type="spellStart"/>
      <w:r w:rsidR="004D722E">
        <w:rPr>
          <w:sz w:val="22"/>
          <w:szCs w:val="22"/>
        </w:rPr>
        <w:t>shocks</w:t>
      </w:r>
      <w:proofErr w:type="spellEnd"/>
      <w:r w:rsidR="004D722E">
        <w:rPr>
          <w:sz w:val="22"/>
          <w:szCs w:val="22"/>
        </w:rPr>
        <w:t xml:space="preserve"> are rather small or non-existent</w:t>
      </w:r>
      <w:r>
        <w:rPr>
          <w:sz w:val="22"/>
          <w:szCs w:val="22"/>
        </w:rPr>
        <w:t>.</w:t>
      </w:r>
      <w:r w:rsidRPr="005B294B">
        <w:rPr>
          <w:sz w:val="22"/>
          <w:szCs w:val="22"/>
        </w:rPr>
        <w:t xml:space="preserve"> </w:t>
      </w:r>
    </w:p>
    <w:p w14:paraId="3C636DCD" w14:textId="75B09E4A" w:rsidR="004B3902" w:rsidRPr="008771D3" w:rsidRDefault="00A20361" w:rsidP="00A20361">
      <w:pPr>
        <w:widowControl w:val="0"/>
        <w:autoSpaceDE w:val="0"/>
        <w:autoSpaceDN w:val="0"/>
        <w:adjustRightInd w:val="0"/>
        <w:spacing w:line="360" w:lineRule="auto"/>
        <w:jc w:val="both"/>
        <w:rPr>
          <w:sz w:val="22"/>
          <w:szCs w:val="22"/>
        </w:rPr>
      </w:pPr>
      <w:r>
        <w:rPr>
          <w:sz w:val="22"/>
          <w:szCs w:val="22"/>
        </w:rPr>
        <w:t xml:space="preserve">            </w:t>
      </w:r>
      <w:r w:rsidRPr="00C32BCA">
        <w:rPr>
          <w:sz w:val="22"/>
          <w:szCs w:val="22"/>
        </w:rPr>
        <w:t xml:space="preserve">This paper contributes to a growing literature </w:t>
      </w:r>
      <w:r>
        <w:rPr>
          <w:sz w:val="22"/>
          <w:szCs w:val="22"/>
        </w:rPr>
        <w:t xml:space="preserve">that studies the effect </w:t>
      </w:r>
      <w:r w:rsidRPr="00C32BCA">
        <w:rPr>
          <w:sz w:val="22"/>
          <w:szCs w:val="22"/>
        </w:rPr>
        <w:t xml:space="preserve">of international trade </w:t>
      </w:r>
      <w:r>
        <w:rPr>
          <w:sz w:val="22"/>
          <w:szCs w:val="22"/>
        </w:rPr>
        <w:t>on</w:t>
      </w:r>
      <w:r w:rsidRPr="00C32BCA">
        <w:rPr>
          <w:sz w:val="22"/>
          <w:szCs w:val="22"/>
        </w:rPr>
        <w:t xml:space="preserve"> labor </w:t>
      </w:r>
      <w:r w:rsidR="005D6EC7">
        <w:rPr>
          <w:sz w:val="22"/>
          <w:szCs w:val="22"/>
        </w:rPr>
        <w:t>market outcomes</w:t>
      </w:r>
      <w:r w:rsidRPr="00C32BCA">
        <w:rPr>
          <w:sz w:val="22"/>
          <w:szCs w:val="22"/>
        </w:rPr>
        <w:t>.</w:t>
      </w:r>
      <w:r>
        <w:rPr>
          <w:sz w:val="22"/>
          <w:szCs w:val="22"/>
        </w:rPr>
        <w:t xml:space="preserve"> Existing paper</w:t>
      </w:r>
      <w:r w:rsidR="005D6EC7">
        <w:rPr>
          <w:sz w:val="22"/>
          <w:szCs w:val="22"/>
        </w:rPr>
        <w:t>s</w:t>
      </w:r>
      <w:r>
        <w:rPr>
          <w:sz w:val="22"/>
          <w:szCs w:val="22"/>
        </w:rPr>
        <w:t xml:space="preserve"> document various </w:t>
      </w:r>
      <w:r w:rsidRPr="005D6EC7">
        <w:rPr>
          <w:sz w:val="22"/>
          <w:szCs w:val="22"/>
        </w:rPr>
        <w:t xml:space="preserve">negative local labor market effects (Autor et al., 2013, </w:t>
      </w:r>
      <w:proofErr w:type="spellStart"/>
      <w:r w:rsidRPr="005D6EC7">
        <w:rPr>
          <w:sz w:val="22"/>
          <w:szCs w:val="22"/>
        </w:rPr>
        <w:t>Acemoğlu</w:t>
      </w:r>
      <w:proofErr w:type="spellEnd"/>
      <w:r w:rsidRPr="005D6EC7">
        <w:rPr>
          <w:sz w:val="22"/>
          <w:szCs w:val="22"/>
        </w:rPr>
        <w:t xml:space="preserve"> et al., 2016; Charles et al., 2013</w:t>
      </w:r>
      <w:r w:rsidR="005D6EC7" w:rsidRPr="005D6EC7">
        <w:rPr>
          <w:sz w:val="22"/>
          <w:szCs w:val="22"/>
        </w:rPr>
        <w:t>, Pierce</w:t>
      </w:r>
      <w:r w:rsidRPr="005D6EC7">
        <w:rPr>
          <w:sz w:val="22"/>
          <w:szCs w:val="22"/>
        </w:rPr>
        <w:t xml:space="preserve"> and Schott, 2016</w:t>
      </w:r>
      <w:r w:rsidR="0067315E" w:rsidRPr="005D6EC7">
        <w:rPr>
          <w:sz w:val="22"/>
          <w:szCs w:val="22"/>
        </w:rPr>
        <w:t xml:space="preserve">). </w:t>
      </w:r>
      <w:r w:rsidRPr="005D6EC7">
        <w:rPr>
          <w:sz w:val="22"/>
          <w:szCs w:val="22"/>
        </w:rPr>
        <w:t xml:space="preserve">This paper complements this literature by looking at </w:t>
      </w:r>
      <w:r w:rsidR="005D6EC7">
        <w:rPr>
          <w:sz w:val="22"/>
          <w:szCs w:val="22"/>
        </w:rPr>
        <w:t xml:space="preserve">how trade shocks may have harmful impacts not only on those who </w:t>
      </w:r>
      <w:r w:rsidR="00451E9E">
        <w:rPr>
          <w:sz w:val="22"/>
          <w:szCs w:val="22"/>
        </w:rPr>
        <w:t xml:space="preserve">personally </w:t>
      </w:r>
      <w:r w:rsidR="005D6EC7">
        <w:rPr>
          <w:sz w:val="22"/>
          <w:szCs w:val="22"/>
        </w:rPr>
        <w:t>suffer job losses as a result of the shock, but because of how public school</w:t>
      </w:r>
      <w:r w:rsidR="00451E9E">
        <w:rPr>
          <w:sz w:val="22"/>
          <w:szCs w:val="22"/>
        </w:rPr>
        <w:t xml:space="preserve">s are financed, also on those who are not directly impacted but happen to live in states with significant job loss. </w:t>
      </w:r>
      <w:r w:rsidRPr="005D6EC7">
        <w:rPr>
          <w:sz w:val="22"/>
          <w:szCs w:val="22"/>
        </w:rPr>
        <w:t>By paying particular attention to how federal, state, and local</w:t>
      </w:r>
      <w:r w:rsidRPr="003D13EE">
        <w:rPr>
          <w:sz w:val="22"/>
          <w:szCs w:val="22"/>
        </w:rPr>
        <w:t xml:space="preserve"> revenues respond to the import-induced changes to labor demand, this paper </w:t>
      </w:r>
      <w:r w:rsidR="00451E9E">
        <w:rPr>
          <w:sz w:val="22"/>
          <w:szCs w:val="22"/>
        </w:rPr>
        <w:t xml:space="preserve">can inform policy makers interested in the optimal ways to fund public schools. </w:t>
      </w:r>
    </w:p>
    <w:p w14:paraId="796F8E9A" w14:textId="63C6E65B" w:rsidR="00A20361" w:rsidRPr="005B294B" w:rsidRDefault="00A20361" w:rsidP="00A20361">
      <w:pPr>
        <w:spacing w:after="100" w:line="340" w:lineRule="atLeast"/>
        <w:jc w:val="both"/>
        <w:rPr>
          <w:sz w:val="22"/>
          <w:szCs w:val="22"/>
        </w:rPr>
      </w:pPr>
      <w:r>
        <w:rPr>
          <w:sz w:val="22"/>
          <w:szCs w:val="22"/>
        </w:rPr>
        <w:t xml:space="preserve">            </w:t>
      </w:r>
      <w:r w:rsidRPr="005B294B">
        <w:rPr>
          <w:sz w:val="22"/>
          <w:szCs w:val="22"/>
        </w:rPr>
        <w:t xml:space="preserve">The rest of the paper is organized as follows. Section </w:t>
      </w:r>
      <w:r w:rsidR="00BA158E">
        <w:rPr>
          <w:sz w:val="22"/>
          <w:szCs w:val="22"/>
        </w:rPr>
        <w:t>2</w:t>
      </w:r>
      <w:r w:rsidRPr="005B294B">
        <w:rPr>
          <w:sz w:val="22"/>
          <w:szCs w:val="22"/>
        </w:rPr>
        <w:t xml:space="preserve"> </w:t>
      </w:r>
      <w:r>
        <w:rPr>
          <w:sz w:val="22"/>
          <w:szCs w:val="22"/>
        </w:rPr>
        <w:t xml:space="preserve">provides background information on the rise of Chinese imports to the U.S. as well as the </w:t>
      </w:r>
      <w:r w:rsidRPr="005B294B">
        <w:rPr>
          <w:sz w:val="22"/>
          <w:szCs w:val="22"/>
        </w:rPr>
        <w:t>U.S. K-12 public education</w:t>
      </w:r>
      <w:r w:rsidRPr="005B294B">
        <w:rPr>
          <w:rFonts w:hint="eastAsia"/>
          <w:sz w:val="22"/>
          <w:szCs w:val="22"/>
        </w:rPr>
        <w:t xml:space="preserve"> system</w:t>
      </w:r>
      <w:r>
        <w:rPr>
          <w:sz w:val="22"/>
          <w:szCs w:val="22"/>
        </w:rPr>
        <w:t>. S</w:t>
      </w:r>
      <w:r w:rsidRPr="005B294B">
        <w:rPr>
          <w:sz w:val="22"/>
          <w:szCs w:val="22"/>
        </w:rPr>
        <w:t xml:space="preserve">ection </w:t>
      </w:r>
      <w:r w:rsidR="00BA158E">
        <w:rPr>
          <w:sz w:val="22"/>
          <w:szCs w:val="22"/>
        </w:rPr>
        <w:t xml:space="preserve">3 </w:t>
      </w:r>
      <w:r w:rsidRPr="005B294B">
        <w:rPr>
          <w:sz w:val="22"/>
          <w:szCs w:val="22"/>
        </w:rPr>
        <w:t xml:space="preserve">describes the data, section </w:t>
      </w:r>
      <w:r w:rsidR="00BA158E">
        <w:rPr>
          <w:sz w:val="22"/>
          <w:szCs w:val="22"/>
        </w:rPr>
        <w:t>4</w:t>
      </w:r>
      <w:r w:rsidRPr="005B294B">
        <w:rPr>
          <w:sz w:val="22"/>
          <w:szCs w:val="22"/>
        </w:rPr>
        <w:t xml:space="preserve"> introduces my empirical model, section </w:t>
      </w:r>
      <w:r w:rsidR="00BA158E">
        <w:rPr>
          <w:sz w:val="22"/>
          <w:szCs w:val="22"/>
        </w:rPr>
        <w:t>5</w:t>
      </w:r>
      <w:r w:rsidRPr="005B294B">
        <w:rPr>
          <w:sz w:val="22"/>
          <w:szCs w:val="22"/>
        </w:rPr>
        <w:t xml:space="preserve"> discusses empirical results, section </w:t>
      </w:r>
      <w:r w:rsidR="00BA158E">
        <w:rPr>
          <w:sz w:val="22"/>
          <w:szCs w:val="22"/>
        </w:rPr>
        <w:t>6</w:t>
      </w:r>
      <w:r w:rsidRPr="005B294B">
        <w:rPr>
          <w:sz w:val="22"/>
          <w:szCs w:val="22"/>
        </w:rPr>
        <w:t xml:space="preserve"> </w:t>
      </w:r>
      <w:r>
        <w:rPr>
          <w:sz w:val="22"/>
          <w:szCs w:val="22"/>
        </w:rPr>
        <w:t>discusses results from</w:t>
      </w:r>
      <w:r w:rsidRPr="005B294B">
        <w:rPr>
          <w:sz w:val="22"/>
          <w:szCs w:val="22"/>
        </w:rPr>
        <w:t xml:space="preserve"> </w:t>
      </w:r>
      <w:r>
        <w:rPr>
          <w:sz w:val="22"/>
          <w:szCs w:val="22"/>
        </w:rPr>
        <w:t>several</w:t>
      </w:r>
      <w:r w:rsidRPr="005B294B">
        <w:rPr>
          <w:sz w:val="22"/>
          <w:szCs w:val="22"/>
        </w:rPr>
        <w:t xml:space="preserve"> robust</w:t>
      </w:r>
      <w:r>
        <w:rPr>
          <w:sz w:val="22"/>
          <w:szCs w:val="22"/>
        </w:rPr>
        <w:t>ness</w:t>
      </w:r>
      <w:r w:rsidRPr="005B294B">
        <w:rPr>
          <w:sz w:val="22"/>
          <w:szCs w:val="22"/>
        </w:rPr>
        <w:t xml:space="preserve"> check</w:t>
      </w:r>
      <w:r>
        <w:rPr>
          <w:sz w:val="22"/>
          <w:szCs w:val="22"/>
        </w:rPr>
        <w:t>s</w:t>
      </w:r>
      <w:r w:rsidRPr="005B294B">
        <w:rPr>
          <w:sz w:val="22"/>
          <w:szCs w:val="22"/>
        </w:rPr>
        <w:t>,</w:t>
      </w:r>
      <w:r>
        <w:rPr>
          <w:sz w:val="22"/>
          <w:szCs w:val="22"/>
        </w:rPr>
        <w:t xml:space="preserve"> section </w:t>
      </w:r>
      <w:r w:rsidR="00BA158E">
        <w:rPr>
          <w:sz w:val="22"/>
          <w:szCs w:val="22"/>
        </w:rPr>
        <w:t>7</w:t>
      </w:r>
      <w:r>
        <w:rPr>
          <w:sz w:val="22"/>
          <w:szCs w:val="22"/>
        </w:rPr>
        <w:t xml:space="preserve"> discusses potential mechanisms,</w:t>
      </w:r>
      <w:r w:rsidRPr="005B294B">
        <w:rPr>
          <w:sz w:val="22"/>
          <w:szCs w:val="22"/>
        </w:rPr>
        <w:t xml:space="preserve"> </w:t>
      </w:r>
      <w:r w:rsidR="005D5ABC">
        <w:rPr>
          <w:rFonts w:hint="eastAsia"/>
          <w:sz w:val="22"/>
          <w:szCs w:val="22"/>
        </w:rPr>
        <w:t>section</w:t>
      </w:r>
      <w:r w:rsidR="005D5ABC">
        <w:rPr>
          <w:sz w:val="22"/>
          <w:szCs w:val="22"/>
        </w:rPr>
        <w:t xml:space="preserve"> 8</w:t>
      </w:r>
      <w:r w:rsidR="005D5ABC" w:rsidRPr="005D5ABC">
        <w:rPr>
          <w:sz w:val="22"/>
          <w:szCs w:val="22"/>
        </w:rPr>
        <w:t xml:space="preserve"> </w:t>
      </w:r>
      <w:r w:rsidR="001E218A">
        <w:rPr>
          <w:sz w:val="22"/>
          <w:szCs w:val="22"/>
        </w:rPr>
        <w:t>discusses the effect of</w:t>
      </w:r>
      <w:r w:rsidR="005D5ABC">
        <w:rPr>
          <w:sz w:val="22"/>
          <w:szCs w:val="22"/>
        </w:rPr>
        <w:t xml:space="preserve"> </w:t>
      </w:r>
      <w:r w:rsidR="001E218A">
        <w:rPr>
          <w:sz w:val="22"/>
          <w:szCs w:val="22"/>
        </w:rPr>
        <w:t xml:space="preserve">selective migration, </w:t>
      </w:r>
      <w:r>
        <w:rPr>
          <w:sz w:val="22"/>
          <w:szCs w:val="22"/>
        </w:rPr>
        <w:t xml:space="preserve">and </w:t>
      </w:r>
      <w:r w:rsidRPr="005B294B">
        <w:rPr>
          <w:sz w:val="22"/>
          <w:szCs w:val="22"/>
        </w:rPr>
        <w:t xml:space="preserve">section </w:t>
      </w:r>
      <w:r w:rsidR="005D5ABC">
        <w:rPr>
          <w:sz w:val="22"/>
          <w:szCs w:val="22"/>
        </w:rPr>
        <w:t>9</w:t>
      </w:r>
      <w:r w:rsidRPr="005B294B">
        <w:rPr>
          <w:sz w:val="22"/>
          <w:szCs w:val="22"/>
        </w:rPr>
        <w:t xml:space="preserve"> concludes. </w:t>
      </w:r>
    </w:p>
    <w:p w14:paraId="47BE9A0A" w14:textId="77777777" w:rsidR="00A20361" w:rsidRPr="005B294B" w:rsidRDefault="00A20361" w:rsidP="00A20361">
      <w:pPr>
        <w:spacing w:line="360" w:lineRule="auto"/>
        <w:ind w:firstLine="220"/>
        <w:jc w:val="both"/>
        <w:rPr>
          <w:sz w:val="22"/>
          <w:szCs w:val="22"/>
        </w:rPr>
      </w:pPr>
    </w:p>
    <w:p w14:paraId="76284147" w14:textId="26CDC791" w:rsidR="00A20361" w:rsidRPr="00B74EAE" w:rsidRDefault="00FF450B" w:rsidP="00A20361">
      <w:pPr>
        <w:spacing w:line="360" w:lineRule="auto"/>
        <w:jc w:val="both"/>
        <w:rPr>
          <w:b/>
        </w:rPr>
      </w:pPr>
      <w:r w:rsidRPr="00B74EAE">
        <w:rPr>
          <w:b/>
        </w:rPr>
        <w:lastRenderedPageBreak/>
        <w:t>2</w:t>
      </w:r>
      <w:r w:rsidR="00A20361" w:rsidRPr="00B74EAE">
        <w:rPr>
          <w:b/>
        </w:rPr>
        <w:t>. Background</w:t>
      </w:r>
    </w:p>
    <w:p w14:paraId="015D4439" w14:textId="7310D48C" w:rsidR="00A20361" w:rsidRDefault="00FF450B" w:rsidP="00A20361">
      <w:pPr>
        <w:jc w:val="both"/>
        <w:rPr>
          <w:rFonts w:ascii="Times" w:hAnsi="Times"/>
          <w:i/>
          <w:sz w:val="22"/>
          <w:szCs w:val="22"/>
        </w:rPr>
      </w:pPr>
      <w:r>
        <w:rPr>
          <w:rFonts w:ascii="Times" w:hAnsi="Times"/>
          <w:i/>
          <w:sz w:val="22"/>
          <w:szCs w:val="22"/>
        </w:rPr>
        <w:t>2.</w:t>
      </w:r>
      <w:r w:rsidR="00A20361" w:rsidRPr="009E091D">
        <w:rPr>
          <w:rFonts w:ascii="Times" w:hAnsi="Times"/>
          <w:i/>
          <w:sz w:val="22"/>
          <w:szCs w:val="22"/>
        </w:rPr>
        <w:t>1.</w:t>
      </w:r>
      <w:r w:rsidR="00A20361">
        <w:rPr>
          <w:rFonts w:ascii="Times" w:hAnsi="Times"/>
          <w:i/>
          <w:sz w:val="22"/>
          <w:szCs w:val="22"/>
        </w:rPr>
        <w:t xml:space="preserve"> </w:t>
      </w:r>
      <w:r w:rsidR="00A20361" w:rsidRPr="009E091D">
        <w:rPr>
          <w:rFonts w:ascii="Times" w:hAnsi="Times"/>
          <w:i/>
          <w:sz w:val="22"/>
          <w:szCs w:val="22"/>
        </w:rPr>
        <w:t>Economic Rise in China</w:t>
      </w:r>
    </w:p>
    <w:p w14:paraId="5316A61D" w14:textId="77777777" w:rsidR="003304C6" w:rsidRPr="0051711B" w:rsidRDefault="003304C6" w:rsidP="00A20361">
      <w:pPr>
        <w:jc w:val="both"/>
        <w:rPr>
          <w:rFonts w:ascii="Times" w:hAnsi="Times"/>
          <w:i/>
          <w:sz w:val="22"/>
          <w:szCs w:val="22"/>
        </w:rPr>
      </w:pPr>
    </w:p>
    <w:p w14:paraId="720EE2E5" w14:textId="1C902947" w:rsidR="00A20361" w:rsidRDefault="002E06A8" w:rsidP="00A20361">
      <w:pPr>
        <w:spacing w:line="360" w:lineRule="auto"/>
        <w:jc w:val="both"/>
        <w:rPr>
          <w:sz w:val="22"/>
          <w:szCs w:val="22"/>
        </w:rPr>
      </w:pPr>
      <w:r>
        <w:rPr>
          <w:rFonts w:hint="eastAsia"/>
          <w:sz w:val="22"/>
          <w:szCs w:val="22"/>
        </w:rPr>
        <w:t>T</w:t>
      </w:r>
      <w:r w:rsidR="00A20361" w:rsidRPr="005B294B">
        <w:rPr>
          <w:sz w:val="22"/>
          <w:szCs w:val="22"/>
        </w:rPr>
        <w:t xml:space="preserve">he People’s Republic of China </w:t>
      </w:r>
      <w:r w:rsidR="00A20361">
        <w:rPr>
          <w:sz w:val="22"/>
          <w:szCs w:val="22"/>
        </w:rPr>
        <w:t>had</w:t>
      </w:r>
      <w:r w:rsidR="00A20361" w:rsidRPr="005B294B">
        <w:rPr>
          <w:sz w:val="22"/>
          <w:szCs w:val="22"/>
        </w:rPr>
        <w:t xml:space="preserve"> </w:t>
      </w:r>
      <w:r w:rsidR="0055712C">
        <w:rPr>
          <w:sz w:val="22"/>
          <w:szCs w:val="22"/>
        </w:rPr>
        <w:t xml:space="preserve">a </w:t>
      </w:r>
      <w:r w:rsidR="00A20361" w:rsidRPr="005B294B">
        <w:rPr>
          <w:sz w:val="22"/>
          <w:szCs w:val="22"/>
        </w:rPr>
        <w:t>planned economy</w:t>
      </w:r>
      <w:r w:rsidR="0055712C">
        <w:rPr>
          <w:sz w:val="22"/>
          <w:szCs w:val="22"/>
        </w:rPr>
        <w:t xml:space="preserve">–decisions regarding </w:t>
      </w:r>
      <w:r w:rsidR="00A20361">
        <w:rPr>
          <w:sz w:val="22"/>
          <w:szCs w:val="22"/>
        </w:rPr>
        <w:t xml:space="preserve">the </w:t>
      </w:r>
      <w:r w:rsidR="00A20361" w:rsidRPr="005B294B">
        <w:rPr>
          <w:sz w:val="22"/>
          <w:szCs w:val="22"/>
        </w:rPr>
        <w:t xml:space="preserve">allocation of labor and resources as well as the output of production </w:t>
      </w:r>
      <w:r w:rsidR="00A20361">
        <w:rPr>
          <w:sz w:val="22"/>
          <w:szCs w:val="22"/>
        </w:rPr>
        <w:t>were</w:t>
      </w:r>
      <w:r w:rsidR="00A20361" w:rsidRPr="005B294B">
        <w:rPr>
          <w:sz w:val="22"/>
          <w:szCs w:val="22"/>
        </w:rPr>
        <w:t xml:space="preserve"> </w:t>
      </w:r>
      <w:r w:rsidR="0055712C">
        <w:rPr>
          <w:sz w:val="22"/>
          <w:szCs w:val="22"/>
        </w:rPr>
        <w:t>made</w:t>
      </w:r>
      <w:r w:rsidR="0055712C" w:rsidRPr="005B294B">
        <w:rPr>
          <w:sz w:val="22"/>
          <w:szCs w:val="22"/>
        </w:rPr>
        <w:t xml:space="preserve"> </w:t>
      </w:r>
      <w:r w:rsidR="00A20361" w:rsidRPr="005B294B">
        <w:rPr>
          <w:sz w:val="22"/>
          <w:szCs w:val="22"/>
        </w:rPr>
        <w:t>by the central government</w:t>
      </w:r>
      <w:r>
        <w:rPr>
          <w:sz w:val="22"/>
          <w:szCs w:val="22"/>
        </w:rPr>
        <w:t xml:space="preserve"> between 1949 and 1978</w:t>
      </w:r>
      <w:r w:rsidR="00A20361" w:rsidRPr="005B294B">
        <w:rPr>
          <w:sz w:val="22"/>
          <w:szCs w:val="22"/>
        </w:rPr>
        <w:t xml:space="preserve">. </w:t>
      </w:r>
      <w:r w:rsidR="00A20361">
        <w:rPr>
          <w:sz w:val="22"/>
          <w:szCs w:val="22"/>
        </w:rPr>
        <w:t>Because w</w:t>
      </w:r>
      <w:r w:rsidR="00A20361" w:rsidRPr="005B294B">
        <w:rPr>
          <w:rFonts w:hint="eastAsia"/>
          <w:sz w:val="22"/>
          <w:szCs w:val="22"/>
        </w:rPr>
        <w:t>ithout</w:t>
      </w:r>
      <w:r w:rsidR="00A20361" w:rsidRPr="005B294B">
        <w:rPr>
          <w:sz w:val="22"/>
          <w:szCs w:val="22"/>
        </w:rPr>
        <w:t xml:space="preserve"> market competition, producers </w:t>
      </w:r>
      <w:r w:rsidR="0055712C">
        <w:rPr>
          <w:sz w:val="22"/>
          <w:szCs w:val="22"/>
        </w:rPr>
        <w:t>had</w:t>
      </w:r>
      <w:r w:rsidR="0055712C" w:rsidRPr="005B294B">
        <w:rPr>
          <w:sz w:val="22"/>
          <w:szCs w:val="22"/>
        </w:rPr>
        <w:t xml:space="preserve"> </w:t>
      </w:r>
      <w:r w:rsidR="00A20361">
        <w:rPr>
          <w:sz w:val="22"/>
          <w:szCs w:val="22"/>
        </w:rPr>
        <w:t>little</w:t>
      </w:r>
      <w:r w:rsidR="00A20361" w:rsidRPr="005B294B">
        <w:rPr>
          <w:sz w:val="22"/>
          <w:szCs w:val="22"/>
        </w:rPr>
        <w:t xml:space="preserve"> incentive to innovate, the GDP growth rate was much slower </w:t>
      </w:r>
      <w:r w:rsidR="0055712C">
        <w:rPr>
          <w:sz w:val="22"/>
          <w:szCs w:val="22"/>
        </w:rPr>
        <w:t xml:space="preserve">in China </w:t>
      </w:r>
      <w:r w:rsidR="00A20361" w:rsidRPr="005B294B">
        <w:rPr>
          <w:sz w:val="22"/>
          <w:szCs w:val="22"/>
        </w:rPr>
        <w:t xml:space="preserve">than </w:t>
      </w:r>
      <w:r w:rsidR="0055712C">
        <w:rPr>
          <w:sz w:val="22"/>
          <w:szCs w:val="22"/>
        </w:rPr>
        <w:t xml:space="preserve">it was in </w:t>
      </w:r>
      <w:r w:rsidR="00A20361" w:rsidRPr="005B294B">
        <w:rPr>
          <w:sz w:val="22"/>
          <w:szCs w:val="22"/>
        </w:rPr>
        <w:t>market economy countries.</w:t>
      </w:r>
      <w:r w:rsidR="00A20361">
        <w:rPr>
          <w:sz w:val="22"/>
          <w:szCs w:val="22"/>
        </w:rPr>
        <w:t xml:space="preserve"> </w:t>
      </w:r>
      <w:r w:rsidR="0055712C">
        <w:rPr>
          <w:sz w:val="22"/>
          <w:szCs w:val="22"/>
        </w:rPr>
        <w:t>T</w:t>
      </w:r>
      <w:r w:rsidR="00A20361">
        <w:rPr>
          <w:sz w:val="22"/>
          <w:szCs w:val="22"/>
        </w:rPr>
        <w:t xml:space="preserve">he average annual real GDP per capita growth rate in China </w:t>
      </w:r>
      <w:r w:rsidR="0055712C">
        <w:rPr>
          <w:sz w:val="22"/>
          <w:szCs w:val="22"/>
        </w:rPr>
        <w:t xml:space="preserve">between </w:t>
      </w:r>
      <w:r w:rsidR="00A20361">
        <w:rPr>
          <w:sz w:val="22"/>
          <w:szCs w:val="22"/>
        </w:rPr>
        <w:t>1953</w:t>
      </w:r>
      <w:r w:rsidR="0055712C">
        <w:rPr>
          <w:sz w:val="22"/>
          <w:szCs w:val="22"/>
        </w:rPr>
        <w:t xml:space="preserve"> and </w:t>
      </w:r>
      <w:r w:rsidR="00A20361">
        <w:rPr>
          <w:sz w:val="22"/>
          <w:szCs w:val="22"/>
        </w:rPr>
        <w:t xml:space="preserve">1978 </w:t>
      </w:r>
      <w:r w:rsidR="0055712C">
        <w:rPr>
          <w:sz w:val="22"/>
          <w:szCs w:val="22"/>
        </w:rPr>
        <w:t xml:space="preserve">was </w:t>
      </w:r>
      <w:r w:rsidR="00A20361">
        <w:rPr>
          <w:sz w:val="22"/>
          <w:szCs w:val="22"/>
        </w:rPr>
        <w:t>only around 2.3%</w:t>
      </w:r>
      <w:r w:rsidR="0055712C">
        <w:rPr>
          <w:sz w:val="22"/>
          <w:szCs w:val="22"/>
        </w:rPr>
        <w:t xml:space="preserve"> (Maddison 2007). </w:t>
      </w:r>
      <w:r w:rsidR="00A20361">
        <w:rPr>
          <w:sz w:val="22"/>
          <w:szCs w:val="22"/>
        </w:rPr>
        <w:t xml:space="preserve">  </w:t>
      </w:r>
    </w:p>
    <w:p w14:paraId="2852109F" w14:textId="32B26B7D" w:rsidR="00A20361" w:rsidRDefault="00A20361" w:rsidP="00A20361">
      <w:pPr>
        <w:spacing w:line="360" w:lineRule="auto"/>
        <w:jc w:val="both"/>
        <w:rPr>
          <w:sz w:val="22"/>
          <w:szCs w:val="22"/>
        </w:rPr>
      </w:pPr>
      <w:r>
        <w:rPr>
          <w:sz w:val="22"/>
          <w:szCs w:val="22"/>
        </w:rPr>
        <w:t xml:space="preserve">            </w:t>
      </w:r>
      <w:r w:rsidRPr="005B294B">
        <w:rPr>
          <w:sz w:val="22"/>
          <w:szCs w:val="22"/>
        </w:rPr>
        <w:t xml:space="preserve">In 1978, the leader of China </w:t>
      </w:r>
      <w:r>
        <w:rPr>
          <w:sz w:val="22"/>
          <w:szCs w:val="22"/>
        </w:rPr>
        <w:t>started to</w:t>
      </w:r>
      <w:r w:rsidRPr="005B294B">
        <w:rPr>
          <w:sz w:val="22"/>
          <w:szCs w:val="22"/>
        </w:rPr>
        <w:t xml:space="preserve"> introduce market economy elements into the economy system, </w:t>
      </w:r>
      <w:r>
        <w:rPr>
          <w:sz w:val="22"/>
          <w:szCs w:val="22"/>
        </w:rPr>
        <w:t>beginning</w:t>
      </w:r>
      <w:r w:rsidRPr="005B294B">
        <w:rPr>
          <w:sz w:val="22"/>
          <w:szCs w:val="22"/>
        </w:rPr>
        <w:t xml:space="preserve"> </w:t>
      </w:r>
      <w:r>
        <w:rPr>
          <w:sz w:val="22"/>
          <w:szCs w:val="22"/>
        </w:rPr>
        <w:t>with</w:t>
      </w:r>
      <w:r w:rsidRPr="005B294B">
        <w:rPr>
          <w:sz w:val="22"/>
          <w:szCs w:val="22"/>
        </w:rPr>
        <w:t xml:space="preserve"> the agriculture sector. </w:t>
      </w:r>
      <w:r w:rsidR="0055712C">
        <w:rPr>
          <w:sz w:val="22"/>
          <w:szCs w:val="22"/>
        </w:rPr>
        <w:t>F</w:t>
      </w:r>
      <w:r w:rsidRPr="005B294B">
        <w:rPr>
          <w:sz w:val="22"/>
          <w:szCs w:val="22"/>
        </w:rPr>
        <w:t xml:space="preserve">armers </w:t>
      </w:r>
      <w:r w:rsidR="0055712C">
        <w:rPr>
          <w:sz w:val="22"/>
          <w:szCs w:val="22"/>
        </w:rPr>
        <w:t xml:space="preserve">were allowed </w:t>
      </w:r>
      <w:r w:rsidRPr="005B294B">
        <w:rPr>
          <w:sz w:val="22"/>
          <w:szCs w:val="22"/>
        </w:rPr>
        <w:t xml:space="preserve">to </w:t>
      </w:r>
      <w:r>
        <w:rPr>
          <w:sz w:val="22"/>
          <w:szCs w:val="22"/>
        </w:rPr>
        <w:t xml:space="preserve">sell some of their </w:t>
      </w:r>
      <w:r w:rsidR="0055712C">
        <w:rPr>
          <w:sz w:val="22"/>
          <w:szCs w:val="22"/>
        </w:rPr>
        <w:t xml:space="preserve">crops </w:t>
      </w:r>
      <w:r>
        <w:rPr>
          <w:sz w:val="22"/>
          <w:szCs w:val="22"/>
        </w:rPr>
        <w:t>on the market,</w:t>
      </w:r>
      <w:r w:rsidRPr="005B294B">
        <w:rPr>
          <w:sz w:val="22"/>
          <w:szCs w:val="22"/>
        </w:rPr>
        <w:t xml:space="preserve"> </w:t>
      </w:r>
      <w:r w:rsidR="0055712C">
        <w:rPr>
          <w:sz w:val="22"/>
          <w:szCs w:val="22"/>
        </w:rPr>
        <w:t>and so</w:t>
      </w:r>
      <w:r>
        <w:rPr>
          <w:sz w:val="22"/>
          <w:szCs w:val="22"/>
        </w:rPr>
        <w:t xml:space="preserve"> while responsible for any </w:t>
      </w:r>
      <w:r w:rsidRPr="005B294B">
        <w:rPr>
          <w:sz w:val="22"/>
          <w:szCs w:val="22"/>
        </w:rPr>
        <w:t>losses</w:t>
      </w:r>
      <w:r>
        <w:rPr>
          <w:sz w:val="22"/>
          <w:szCs w:val="22"/>
        </w:rPr>
        <w:t>, they were also able to keep any</w:t>
      </w:r>
      <w:r w:rsidRPr="005B294B">
        <w:rPr>
          <w:sz w:val="22"/>
          <w:szCs w:val="22"/>
        </w:rPr>
        <w:t xml:space="preserve"> profits</w:t>
      </w:r>
      <w:r w:rsidR="0055712C">
        <w:rPr>
          <w:sz w:val="22"/>
          <w:szCs w:val="22"/>
        </w:rPr>
        <w:t>. T</w:t>
      </w:r>
      <w:r w:rsidRPr="005B294B">
        <w:rPr>
          <w:sz w:val="22"/>
          <w:szCs w:val="22"/>
        </w:rPr>
        <w:t xml:space="preserve">he agriculture growth rate </w:t>
      </w:r>
      <w:r w:rsidRPr="005B294B">
        <w:rPr>
          <w:rFonts w:hint="eastAsia"/>
          <w:sz w:val="22"/>
          <w:szCs w:val="22"/>
        </w:rPr>
        <w:t>in</w:t>
      </w:r>
      <w:r w:rsidRPr="005B294B">
        <w:rPr>
          <w:sz w:val="22"/>
          <w:szCs w:val="22"/>
        </w:rPr>
        <w:t xml:space="preserve"> the following years increased dramatically</w:t>
      </w:r>
      <w:r>
        <w:rPr>
          <w:sz w:val="22"/>
          <w:szCs w:val="22"/>
        </w:rPr>
        <w:t xml:space="preserve"> (Cheng, 2007)</w:t>
      </w:r>
      <w:r w:rsidRPr="005B294B">
        <w:rPr>
          <w:sz w:val="22"/>
          <w:szCs w:val="22"/>
        </w:rPr>
        <w:t>.</w:t>
      </w:r>
      <w:r>
        <w:rPr>
          <w:rStyle w:val="FootnoteReference"/>
          <w:sz w:val="22"/>
          <w:szCs w:val="22"/>
        </w:rPr>
        <w:footnoteReference w:id="3"/>
      </w:r>
      <w:r w:rsidRPr="005B294B">
        <w:rPr>
          <w:sz w:val="22"/>
          <w:szCs w:val="22"/>
        </w:rPr>
        <w:t xml:space="preserve"> </w:t>
      </w:r>
      <w:r>
        <w:rPr>
          <w:sz w:val="22"/>
          <w:szCs w:val="22"/>
        </w:rPr>
        <w:t xml:space="preserve">Starting in </w:t>
      </w:r>
      <w:r w:rsidRPr="005B294B">
        <w:rPr>
          <w:sz w:val="22"/>
          <w:szCs w:val="22"/>
        </w:rPr>
        <w:t xml:space="preserve">1984, </w:t>
      </w:r>
      <w:r w:rsidR="0055712C">
        <w:rPr>
          <w:sz w:val="22"/>
          <w:szCs w:val="22"/>
        </w:rPr>
        <w:t>this type of</w:t>
      </w:r>
      <w:r w:rsidR="0055712C" w:rsidRPr="005B294B">
        <w:rPr>
          <w:sz w:val="22"/>
          <w:szCs w:val="22"/>
        </w:rPr>
        <w:t xml:space="preserve"> </w:t>
      </w:r>
      <w:r w:rsidRPr="005B294B">
        <w:rPr>
          <w:sz w:val="22"/>
          <w:szCs w:val="22"/>
        </w:rPr>
        <w:t xml:space="preserve">reform </w:t>
      </w:r>
      <w:r>
        <w:rPr>
          <w:sz w:val="22"/>
          <w:szCs w:val="22"/>
        </w:rPr>
        <w:t>was</w:t>
      </w:r>
      <w:r w:rsidRPr="005B294B">
        <w:rPr>
          <w:sz w:val="22"/>
          <w:szCs w:val="22"/>
        </w:rPr>
        <w:t xml:space="preserve"> implemented in </w:t>
      </w:r>
      <w:r>
        <w:rPr>
          <w:sz w:val="22"/>
          <w:szCs w:val="22"/>
        </w:rPr>
        <w:t>other</w:t>
      </w:r>
      <w:r w:rsidRPr="005B294B">
        <w:rPr>
          <w:sz w:val="22"/>
          <w:szCs w:val="22"/>
        </w:rPr>
        <w:t xml:space="preserve"> sector</w:t>
      </w:r>
      <w:r>
        <w:rPr>
          <w:sz w:val="22"/>
          <w:szCs w:val="22"/>
        </w:rPr>
        <w:t>s</w:t>
      </w:r>
      <w:r w:rsidRPr="005B294B">
        <w:rPr>
          <w:sz w:val="22"/>
          <w:szCs w:val="22"/>
        </w:rPr>
        <w:t xml:space="preserve"> as well. The set-up of Special Economic Zones </w:t>
      </w:r>
      <w:r>
        <w:rPr>
          <w:sz w:val="22"/>
          <w:szCs w:val="22"/>
        </w:rPr>
        <w:t>enabled local governments to experiment with various free market reforms with the goal of attracting foreign investment. T</w:t>
      </w:r>
      <w:r w:rsidRPr="005B294B">
        <w:rPr>
          <w:sz w:val="22"/>
          <w:szCs w:val="22"/>
        </w:rPr>
        <w:t xml:space="preserve">he privatization of state-owned enterprises </w:t>
      </w:r>
      <w:r>
        <w:rPr>
          <w:sz w:val="22"/>
          <w:szCs w:val="22"/>
        </w:rPr>
        <w:t>also</w:t>
      </w:r>
      <w:r w:rsidRPr="005B294B">
        <w:rPr>
          <w:sz w:val="22"/>
          <w:szCs w:val="22"/>
        </w:rPr>
        <w:t xml:space="preserve"> </w:t>
      </w:r>
      <w:r>
        <w:rPr>
          <w:sz w:val="22"/>
          <w:szCs w:val="22"/>
        </w:rPr>
        <w:t>promoted</w:t>
      </w:r>
      <w:r w:rsidRPr="005B294B">
        <w:rPr>
          <w:sz w:val="22"/>
          <w:szCs w:val="22"/>
        </w:rPr>
        <w:t xml:space="preserve"> product</w:t>
      </w:r>
      <w:r>
        <w:rPr>
          <w:sz w:val="22"/>
          <w:szCs w:val="22"/>
        </w:rPr>
        <w:t>ive efficiency</w:t>
      </w:r>
      <w:r w:rsidRPr="005B294B">
        <w:rPr>
          <w:sz w:val="22"/>
          <w:szCs w:val="22"/>
        </w:rPr>
        <w:t>.</w:t>
      </w:r>
      <w:r>
        <w:rPr>
          <w:sz w:val="22"/>
          <w:szCs w:val="22"/>
        </w:rPr>
        <w:t xml:space="preserve"> </w:t>
      </w:r>
      <w:r w:rsidRPr="005B294B">
        <w:rPr>
          <w:sz w:val="22"/>
          <w:szCs w:val="22"/>
        </w:rPr>
        <w:t>In 1992, the chief architect of China's reform, Deng Xiaoping</w:t>
      </w:r>
      <w:r>
        <w:rPr>
          <w:sz w:val="22"/>
          <w:szCs w:val="22"/>
        </w:rPr>
        <w:t>,</w:t>
      </w:r>
      <w:r w:rsidRPr="005B294B">
        <w:rPr>
          <w:sz w:val="22"/>
          <w:szCs w:val="22"/>
        </w:rPr>
        <w:t xml:space="preserve"> gave a series of speeches which outlined an unequivocal path for the country's further opening-up. With the</w:t>
      </w:r>
      <w:r>
        <w:rPr>
          <w:sz w:val="22"/>
          <w:szCs w:val="22"/>
        </w:rPr>
        <w:t xml:space="preserve"> </w:t>
      </w:r>
      <w:r w:rsidRPr="005B294B">
        <w:rPr>
          <w:sz w:val="22"/>
          <w:szCs w:val="22"/>
        </w:rPr>
        <w:t xml:space="preserve">advanced technologies brought </w:t>
      </w:r>
      <w:r w:rsidR="004654E1">
        <w:rPr>
          <w:sz w:val="22"/>
          <w:szCs w:val="22"/>
        </w:rPr>
        <w:t xml:space="preserve">in </w:t>
      </w:r>
      <w:r w:rsidRPr="005B294B">
        <w:rPr>
          <w:sz w:val="22"/>
          <w:szCs w:val="22"/>
        </w:rPr>
        <w:t xml:space="preserve">by foreign investment </w:t>
      </w:r>
      <w:r w:rsidR="004654E1">
        <w:rPr>
          <w:sz w:val="22"/>
          <w:szCs w:val="22"/>
        </w:rPr>
        <w:t>or via</w:t>
      </w:r>
      <w:r w:rsidR="004654E1" w:rsidRPr="005B294B">
        <w:rPr>
          <w:sz w:val="22"/>
          <w:szCs w:val="22"/>
        </w:rPr>
        <w:t xml:space="preserve"> </w:t>
      </w:r>
      <w:r w:rsidRPr="005B294B">
        <w:rPr>
          <w:sz w:val="22"/>
          <w:szCs w:val="22"/>
        </w:rPr>
        <w:t>incentivized producers, productivity in China</w:t>
      </w:r>
      <w:r>
        <w:rPr>
          <w:sz w:val="22"/>
          <w:szCs w:val="22"/>
        </w:rPr>
        <w:t xml:space="preserve"> has</w:t>
      </w:r>
      <w:r w:rsidRPr="005B294B">
        <w:rPr>
          <w:sz w:val="22"/>
          <w:szCs w:val="22"/>
        </w:rPr>
        <w:t xml:space="preserve"> increased steadily since then</w:t>
      </w:r>
      <w:r>
        <w:rPr>
          <w:sz w:val="22"/>
          <w:szCs w:val="22"/>
        </w:rPr>
        <w:t xml:space="preserve"> this time</w:t>
      </w:r>
      <w:r w:rsidRPr="005B294B">
        <w:rPr>
          <w:sz w:val="22"/>
          <w:szCs w:val="22"/>
        </w:rPr>
        <w:t xml:space="preserve">. </w:t>
      </w:r>
    </w:p>
    <w:p w14:paraId="158903F5" w14:textId="4D71FE37" w:rsidR="00A20361" w:rsidRDefault="00A20361" w:rsidP="00A20361">
      <w:pPr>
        <w:spacing w:line="360" w:lineRule="auto"/>
        <w:jc w:val="both"/>
        <w:rPr>
          <w:sz w:val="22"/>
          <w:szCs w:val="22"/>
        </w:rPr>
      </w:pPr>
      <w:r>
        <w:rPr>
          <w:sz w:val="22"/>
          <w:szCs w:val="22"/>
        </w:rPr>
        <w:t xml:space="preserve">            </w:t>
      </w:r>
      <w:r w:rsidRPr="005B294B">
        <w:rPr>
          <w:sz w:val="22"/>
          <w:szCs w:val="22"/>
        </w:rPr>
        <w:t xml:space="preserve">In December 2001, China joined </w:t>
      </w:r>
      <w:r>
        <w:rPr>
          <w:sz w:val="22"/>
          <w:szCs w:val="22"/>
        </w:rPr>
        <w:t xml:space="preserve">the World Trade </w:t>
      </w:r>
      <w:r w:rsidR="00BA088C">
        <w:rPr>
          <w:sz w:val="22"/>
          <w:szCs w:val="22"/>
        </w:rPr>
        <w:t>Organization (</w:t>
      </w:r>
      <w:r w:rsidR="00BA088C" w:rsidRPr="005B294B">
        <w:rPr>
          <w:sz w:val="22"/>
          <w:szCs w:val="22"/>
        </w:rPr>
        <w:t>WTO</w:t>
      </w:r>
      <w:r w:rsidR="00BA088C">
        <w:rPr>
          <w:sz w:val="22"/>
          <w:szCs w:val="22"/>
        </w:rPr>
        <w:t xml:space="preserve">) thereby lowering the </w:t>
      </w:r>
      <w:r w:rsidR="00BA088C" w:rsidRPr="005B294B">
        <w:rPr>
          <w:sz w:val="22"/>
          <w:szCs w:val="22"/>
        </w:rPr>
        <w:t>transaction</w:t>
      </w:r>
      <w:r w:rsidR="00BA088C">
        <w:rPr>
          <w:sz w:val="22"/>
          <w:szCs w:val="22"/>
        </w:rPr>
        <w:t>s</w:t>
      </w:r>
      <w:r w:rsidR="00BA088C" w:rsidRPr="005B294B">
        <w:rPr>
          <w:sz w:val="22"/>
          <w:szCs w:val="22"/>
        </w:rPr>
        <w:t xml:space="preserve"> cost</w:t>
      </w:r>
      <w:r w:rsidR="00BA088C">
        <w:rPr>
          <w:sz w:val="22"/>
          <w:szCs w:val="22"/>
        </w:rPr>
        <w:t>s</w:t>
      </w:r>
      <w:r w:rsidR="00BA088C" w:rsidRPr="005B294B">
        <w:rPr>
          <w:sz w:val="22"/>
          <w:szCs w:val="22"/>
        </w:rPr>
        <w:t xml:space="preserve"> of international trade for China </w:t>
      </w:r>
      <w:r w:rsidR="00BA088C">
        <w:rPr>
          <w:sz w:val="22"/>
          <w:szCs w:val="22"/>
        </w:rPr>
        <w:t>and</w:t>
      </w:r>
      <w:r w:rsidR="00BA088C" w:rsidRPr="005B294B">
        <w:rPr>
          <w:sz w:val="22"/>
          <w:szCs w:val="22"/>
        </w:rPr>
        <w:t xml:space="preserve"> </w:t>
      </w:r>
      <w:r w:rsidR="00BA088C">
        <w:rPr>
          <w:sz w:val="22"/>
          <w:szCs w:val="22"/>
        </w:rPr>
        <w:t xml:space="preserve">further </w:t>
      </w:r>
      <w:r w:rsidR="00BA088C" w:rsidRPr="005B294B">
        <w:rPr>
          <w:sz w:val="22"/>
          <w:szCs w:val="22"/>
        </w:rPr>
        <w:t>increas</w:t>
      </w:r>
      <w:r w:rsidR="00BA088C">
        <w:rPr>
          <w:sz w:val="22"/>
          <w:szCs w:val="22"/>
        </w:rPr>
        <w:t>ing</w:t>
      </w:r>
      <w:r w:rsidR="00BA088C" w:rsidRPr="005B294B">
        <w:rPr>
          <w:sz w:val="22"/>
          <w:szCs w:val="22"/>
        </w:rPr>
        <w:t xml:space="preserve"> the competitiveness of Chinese products.</w:t>
      </w:r>
      <w:r w:rsidR="00BA088C">
        <w:rPr>
          <w:sz w:val="22"/>
          <w:szCs w:val="22"/>
        </w:rPr>
        <w:t xml:space="preserve"> The average annual real GDP per capita growth rate in China between 1978 and 2003 was around 6.6%, nearly three times that the growth rates in the years prior to the reforms. As displayed in figure 1, the real GDP per capita in China increased slightly before 1978, but then the </w:t>
      </w:r>
      <w:r>
        <w:rPr>
          <w:sz w:val="22"/>
          <w:szCs w:val="22"/>
        </w:rPr>
        <w:t xml:space="preserve">increase accelerated </w:t>
      </w:r>
      <w:r>
        <w:rPr>
          <w:rFonts w:hint="eastAsia"/>
          <w:sz w:val="22"/>
          <w:szCs w:val="22"/>
        </w:rPr>
        <w:t>after</w:t>
      </w:r>
      <w:r>
        <w:rPr>
          <w:sz w:val="22"/>
          <w:szCs w:val="22"/>
        </w:rPr>
        <w:t xml:space="preserve"> 1992 and 2001. By comparison, the average annual real GDP per capita growth rates in US during 1952-1978 and 1978-2003 were 2.2% and 1.8% respectively.</w:t>
      </w:r>
      <w:r>
        <w:rPr>
          <w:rStyle w:val="FootnoteReference"/>
          <w:sz w:val="22"/>
          <w:szCs w:val="22"/>
        </w:rPr>
        <w:footnoteReference w:id="4"/>
      </w:r>
      <w:r>
        <w:rPr>
          <w:sz w:val="22"/>
          <w:szCs w:val="22"/>
        </w:rPr>
        <w:t xml:space="preserve"> Because of the increase in productivity and decrease in transaction</w:t>
      </w:r>
      <w:r w:rsidR="004654E1">
        <w:rPr>
          <w:sz w:val="22"/>
          <w:szCs w:val="22"/>
        </w:rPr>
        <w:t>s</w:t>
      </w:r>
      <w:r>
        <w:rPr>
          <w:sz w:val="22"/>
          <w:szCs w:val="22"/>
        </w:rPr>
        <w:t xml:space="preserve"> cost, Chinese goods became more competitive in the world market. </w:t>
      </w:r>
    </w:p>
    <w:p w14:paraId="44699CE7" w14:textId="77777777" w:rsidR="00A20361" w:rsidRPr="005B294B" w:rsidRDefault="00A20361" w:rsidP="00A20361">
      <w:pPr>
        <w:spacing w:line="200" w:lineRule="atLeast"/>
        <w:jc w:val="both"/>
      </w:pPr>
    </w:p>
    <w:p w14:paraId="22B52E06" w14:textId="663A4232" w:rsidR="00A20361" w:rsidRDefault="00FF450B" w:rsidP="00A20361">
      <w:pPr>
        <w:spacing w:line="200" w:lineRule="atLeast"/>
        <w:jc w:val="both"/>
        <w:rPr>
          <w:rFonts w:ascii="Times" w:hAnsi="Times"/>
          <w:i/>
          <w:sz w:val="22"/>
          <w:szCs w:val="22"/>
        </w:rPr>
      </w:pPr>
      <w:r>
        <w:rPr>
          <w:rFonts w:ascii="Times" w:hAnsi="Times"/>
          <w:i/>
          <w:sz w:val="22"/>
          <w:szCs w:val="22"/>
        </w:rPr>
        <w:t>2.</w:t>
      </w:r>
      <w:r w:rsidR="00A20361" w:rsidRPr="009E091D">
        <w:rPr>
          <w:rFonts w:ascii="Times" w:hAnsi="Times"/>
          <w:i/>
          <w:sz w:val="22"/>
          <w:szCs w:val="22"/>
        </w:rPr>
        <w:t>2.</w:t>
      </w:r>
      <w:r>
        <w:rPr>
          <w:rFonts w:ascii="Times" w:hAnsi="Times"/>
          <w:i/>
          <w:sz w:val="22"/>
          <w:szCs w:val="22"/>
        </w:rPr>
        <w:t xml:space="preserve"> </w:t>
      </w:r>
      <w:r w:rsidR="004654E1">
        <w:rPr>
          <w:rFonts w:ascii="Times" w:hAnsi="Times"/>
          <w:i/>
          <w:sz w:val="22"/>
          <w:szCs w:val="22"/>
        </w:rPr>
        <w:t>The</w:t>
      </w:r>
      <w:r w:rsidR="00A20361" w:rsidRPr="009E091D">
        <w:rPr>
          <w:rFonts w:ascii="Times" w:hAnsi="Times"/>
          <w:i/>
          <w:sz w:val="22"/>
          <w:szCs w:val="22"/>
        </w:rPr>
        <w:t xml:space="preserve"> K-12 Education</w:t>
      </w:r>
      <w:r w:rsidR="004654E1">
        <w:rPr>
          <w:rFonts w:ascii="Times" w:hAnsi="Times"/>
          <w:i/>
          <w:sz w:val="22"/>
          <w:szCs w:val="22"/>
        </w:rPr>
        <w:t>al</w:t>
      </w:r>
      <w:r w:rsidR="00A20361" w:rsidRPr="009E091D">
        <w:rPr>
          <w:rFonts w:ascii="Times" w:hAnsi="Times"/>
          <w:i/>
          <w:sz w:val="22"/>
          <w:szCs w:val="22"/>
        </w:rPr>
        <w:t xml:space="preserve"> Finance System</w:t>
      </w:r>
      <w:r w:rsidR="004654E1">
        <w:rPr>
          <w:rFonts w:ascii="Times" w:hAnsi="Times"/>
          <w:i/>
          <w:sz w:val="22"/>
          <w:szCs w:val="22"/>
        </w:rPr>
        <w:t xml:space="preserve"> in the United States</w:t>
      </w:r>
    </w:p>
    <w:p w14:paraId="348AE5D2" w14:textId="77777777" w:rsidR="00072618" w:rsidRPr="0051711B" w:rsidRDefault="00072618" w:rsidP="00A20361">
      <w:pPr>
        <w:spacing w:line="200" w:lineRule="atLeast"/>
        <w:jc w:val="both"/>
        <w:rPr>
          <w:rFonts w:ascii="Times" w:hAnsi="Times"/>
          <w:i/>
          <w:color w:val="333333"/>
          <w:sz w:val="22"/>
          <w:szCs w:val="22"/>
          <w:shd w:val="clear" w:color="auto" w:fill="FFFFFF"/>
        </w:rPr>
      </w:pPr>
    </w:p>
    <w:p w14:paraId="07B9B7AD" w14:textId="67C0991B" w:rsidR="003E6BE6" w:rsidRDefault="00A20361" w:rsidP="00A20361">
      <w:pPr>
        <w:spacing w:line="360" w:lineRule="auto"/>
        <w:jc w:val="both"/>
        <w:rPr>
          <w:sz w:val="22"/>
          <w:szCs w:val="22"/>
        </w:rPr>
      </w:pPr>
      <w:r>
        <w:rPr>
          <w:sz w:val="22"/>
          <w:szCs w:val="22"/>
        </w:rPr>
        <w:lastRenderedPageBreak/>
        <w:t xml:space="preserve">Public schools </w:t>
      </w:r>
      <w:r w:rsidR="004654E1">
        <w:rPr>
          <w:sz w:val="22"/>
          <w:szCs w:val="22"/>
        </w:rPr>
        <w:t xml:space="preserve">in the U.S. </w:t>
      </w:r>
      <w:r>
        <w:rPr>
          <w:sz w:val="22"/>
          <w:szCs w:val="22"/>
        </w:rPr>
        <w:t xml:space="preserve">are financed by </w:t>
      </w:r>
      <w:r w:rsidRPr="00F172A6">
        <w:rPr>
          <w:sz w:val="22"/>
          <w:szCs w:val="22"/>
        </w:rPr>
        <w:t xml:space="preserve">federal, state and local </w:t>
      </w:r>
      <w:r>
        <w:rPr>
          <w:sz w:val="22"/>
          <w:szCs w:val="22"/>
        </w:rPr>
        <w:t>governments</w:t>
      </w:r>
      <w:r w:rsidRPr="00F172A6">
        <w:rPr>
          <w:rFonts w:hint="eastAsia"/>
          <w:sz w:val="22"/>
          <w:szCs w:val="22"/>
        </w:rPr>
        <w:t>.</w:t>
      </w:r>
      <w:r w:rsidR="00B248E3">
        <w:rPr>
          <w:rStyle w:val="FootnoteReference"/>
          <w:sz w:val="22"/>
          <w:szCs w:val="22"/>
        </w:rPr>
        <w:footnoteReference w:id="5"/>
      </w:r>
      <w:r w:rsidRPr="00F172A6">
        <w:rPr>
          <w:sz w:val="22"/>
          <w:szCs w:val="22"/>
        </w:rPr>
        <w:t xml:space="preserve"> Figure 2 shows </w:t>
      </w:r>
      <w:r>
        <w:rPr>
          <w:sz w:val="22"/>
          <w:szCs w:val="22"/>
        </w:rPr>
        <w:t xml:space="preserve">that </w:t>
      </w:r>
      <w:r w:rsidRPr="00F172A6">
        <w:rPr>
          <w:sz w:val="22"/>
          <w:szCs w:val="22"/>
        </w:rPr>
        <w:t>prior to the 1970s, local governments provided the majority of the resources spent on public K–12 school</w:t>
      </w:r>
      <w:r w:rsidRPr="00F172A6">
        <w:rPr>
          <w:rFonts w:hint="eastAsia"/>
          <w:sz w:val="22"/>
          <w:szCs w:val="22"/>
        </w:rPr>
        <w:t>s</w:t>
      </w:r>
      <w:r w:rsidR="00C962CE">
        <w:rPr>
          <w:sz w:val="22"/>
          <w:szCs w:val="22"/>
        </w:rPr>
        <w:t>.</w:t>
      </w:r>
      <w:r w:rsidRPr="00F172A6">
        <w:rPr>
          <w:sz w:val="22"/>
          <w:szCs w:val="22"/>
        </w:rPr>
        <w:t xml:space="preserve"> Because of the high levels of residential segregation by socioeconomic status, the heavy reliance on local resources </w:t>
      </w:r>
      <w:r w:rsidR="00C962CE">
        <w:rPr>
          <w:sz w:val="22"/>
          <w:szCs w:val="22"/>
        </w:rPr>
        <w:t xml:space="preserve">was </w:t>
      </w:r>
      <w:r>
        <w:rPr>
          <w:sz w:val="22"/>
          <w:szCs w:val="22"/>
        </w:rPr>
        <w:t xml:space="preserve">associated with </w:t>
      </w:r>
      <w:r w:rsidRPr="00F172A6">
        <w:rPr>
          <w:sz w:val="22"/>
          <w:szCs w:val="22"/>
        </w:rPr>
        <w:t>inequality in per-pupil spending (Jackson et al., 2016).</w:t>
      </w:r>
      <w:r w:rsidR="00880D49">
        <w:rPr>
          <w:sz w:val="22"/>
          <w:szCs w:val="22"/>
        </w:rPr>
        <w:t xml:space="preserve"> </w:t>
      </w:r>
      <w:r w:rsidR="00880D49" w:rsidRPr="00DF07A0">
        <w:rPr>
          <w:sz w:val="22"/>
          <w:szCs w:val="22"/>
        </w:rPr>
        <w:t xml:space="preserve">Facing this, from 1970 to 2010, </w:t>
      </w:r>
      <w:r w:rsidR="00880D49">
        <w:rPr>
          <w:sz w:val="22"/>
          <w:szCs w:val="22"/>
        </w:rPr>
        <w:t xml:space="preserve">state </w:t>
      </w:r>
      <w:r w:rsidR="00880D49" w:rsidRPr="00DF07A0">
        <w:rPr>
          <w:sz w:val="22"/>
          <w:szCs w:val="22"/>
        </w:rPr>
        <w:t xml:space="preserve">supreme courts heard cases on </w:t>
      </w:r>
      <w:r w:rsidR="003304C6">
        <w:rPr>
          <w:sz w:val="22"/>
          <w:szCs w:val="22"/>
        </w:rPr>
        <w:t xml:space="preserve">the </w:t>
      </w:r>
      <w:r w:rsidR="00880D49" w:rsidRPr="00DF07A0">
        <w:rPr>
          <w:sz w:val="22"/>
          <w:szCs w:val="22"/>
        </w:rPr>
        <w:t>constitutionality of school finance system</w:t>
      </w:r>
      <w:r w:rsidR="003304C6">
        <w:rPr>
          <w:sz w:val="22"/>
          <w:szCs w:val="22"/>
        </w:rPr>
        <w:t>s</w:t>
      </w:r>
      <w:r w:rsidR="00880D49" w:rsidRPr="00DF07A0">
        <w:rPr>
          <w:sz w:val="22"/>
          <w:szCs w:val="22"/>
        </w:rPr>
        <w:t xml:space="preserve">, </w:t>
      </w:r>
      <w:r w:rsidR="003304C6">
        <w:rPr>
          <w:sz w:val="22"/>
          <w:szCs w:val="22"/>
        </w:rPr>
        <w:t xml:space="preserve">and this resulted in </w:t>
      </w:r>
      <w:r w:rsidR="00880D49" w:rsidRPr="00DF07A0">
        <w:rPr>
          <w:sz w:val="22"/>
          <w:szCs w:val="22"/>
        </w:rPr>
        <w:t>many of them implement</w:t>
      </w:r>
      <w:r w:rsidR="003304C6">
        <w:rPr>
          <w:sz w:val="22"/>
          <w:szCs w:val="22"/>
        </w:rPr>
        <w:t>ing</w:t>
      </w:r>
      <w:r w:rsidR="00880D49" w:rsidRPr="00DF07A0">
        <w:rPr>
          <w:sz w:val="22"/>
          <w:szCs w:val="22"/>
        </w:rPr>
        <w:t xml:space="preserve"> legislative reforms to reduce within state differences </w:t>
      </w:r>
      <w:r w:rsidR="00824D77">
        <w:rPr>
          <w:sz w:val="22"/>
          <w:szCs w:val="22"/>
        </w:rPr>
        <w:t>between</w:t>
      </w:r>
      <w:r w:rsidR="00880D49" w:rsidRPr="00DF07A0">
        <w:rPr>
          <w:sz w:val="22"/>
          <w:szCs w:val="22"/>
        </w:rPr>
        <w:t xml:space="preserve"> wealthy and poor districts</w:t>
      </w:r>
      <w:r w:rsidR="00880D49">
        <w:rPr>
          <w:sz w:val="22"/>
          <w:szCs w:val="22"/>
        </w:rPr>
        <w:t xml:space="preserve">. </w:t>
      </w:r>
      <w:r w:rsidRPr="00DF07A0">
        <w:rPr>
          <w:sz w:val="22"/>
          <w:szCs w:val="22"/>
        </w:rPr>
        <w:t>As a result, state government</w:t>
      </w:r>
      <w:r>
        <w:rPr>
          <w:sz w:val="22"/>
          <w:szCs w:val="22"/>
        </w:rPr>
        <w:t>s</w:t>
      </w:r>
      <w:r w:rsidRPr="00DF07A0">
        <w:rPr>
          <w:sz w:val="22"/>
          <w:szCs w:val="22"/>
        </w:rPr>
        <w:t xml:space="preserve"> start</w:t>
      </w:r>
      <w:r>
        <w:rPr>
          <w:sz w:val="22"/>
          <w:szCs w:val="22"/>
        </w:rPr>
        <w:t>ed</w:t>
      </w:r>
      <w:r w:rsidRPr="00DF07A0">
        <w:rPr>
          <w:sz w:val="22"/>
          <w:szCs w:val="22"/>
        </w:rPr>
        <w:t xml:space="preserve"> to contribute </w:t>
      </w:r>
      <w:r w:rsidR="006C030C">
        <w:rPr>
          <w:sz w:val="22"/>
          <w:szCs w:val="22"/>
        </w:rPr>
        <w:t>larger</w:t>
      </w:r>
      <w:r w:rsidR="006C030C" w:rsidRPr="00DF07A0">
        <w:rPr>
          <w:sz w:val="22"/>
          <w:szCs w:val="22"/>
        </w:rPr>
        <w:t xml:space="preserve"> </w:t>
      </w:r>
      <w:r w:rsidR="003304C6">
        <w:rPr>
          <w:sz w:val="22"/>
          <w:szCs w:val="22"/>
        </w:rPr>
        <w:t xml:space="preserve">shares of total </w:t>
      </w:r>
      <w:r w:rsidR="0063524A">
        <w:rPr>
          <w:sz w:val="22"/>
          <w:szCs w:val="22"/>
        </w:rPr>
        <w:t>public-school</w:t>
      </w:r>
      <w:r w:rsidRPr="00DF07A0">
        <w:rPr>
          <w:sz w:val="22"/>
          <w:szCs w:val="22"/>
        </w:rPr>
        <w:t xml:space="preserve"> </w:t>
      </w:r>
      <w:r>
        <w:rPr>
          <w:sz w:val="22"/>
          <w:szCs w:val="22"/>
        </w:rPr>
        <w:t>funding.</w:t>
      </w:r>
      <w:r w:rsidRPr="00DF07A0">
        <w:rPr>
          <w:sz w:val="22"/>
          <w:szCs w:val="22"/>
        </w:rPr>
        <w:t xml:space="preserve"> </w:t>
      </w:r>
      <w:r>
        <w:rPr>
          <w:sz w:val="22"/>
          <w:szCs w:val="22"/>
        </w:rPr>
        <w:t>As can be seen</w:t>
      </w:r>
      <w:r w:rsidRPr="00DF07A0">
        <w:rPr>
          <w:sz w:val="22"/>
          <w:szCs w:val="22"/>
        </w:rPr>
        <w:t xml:space="preserve"> from figure 2, the </w:t>
      </w:r>
      <w:r w:rsidR="006C030C">
        <w:rPr>
          <w:sz w:val="22"/>
          <w:szCs w:val="22"/>
        </w:rPr>
        <w:t xml:space="preserve">average </w:t>
      </w:r>
      <w:r w:rsidRPr="00DF07A0">
        <w:rPr>
          <w:sz w:val="22"/>
          <w:szCs w:val="22"/>
        </w:rPr>
        <w:t>share of state tax revenue</w:t>
      </w:r>
      <w:r w:rsidR="006C030C">
        <w:rPr>
          <w:sz w:val="22"/>
          <w:szCs w:val="22"/>
        </w:rPr>
        <w:t xml:space="preserve"> in total school revenues</w:t>
      </w:r>
      <w:r w:rsidR="003E6BE6">
        <w:rPr>
          <w:sz w:val="22"/>
          <w:szCs w:val="22"/>
        </w:rPr>
        <w:t xml:space="preserve"> </w:t>
      </w:r>
      <w:r w:rsidRPr="00DF07A0">
        <w:rPr>
          <w:sz w:val="22"/>
          <w:szCs w:val="22"/>
        </w:rPr>
        <w:t>increased from 39.1% in school year 1970-71 to 48.3% in school year 2006-2007</w:t>
      </w:r>
      <w:r w:rsidR="006C030C">
        <w:rPr>
          <w:sz w:val="22"/>
          <w:szCs w:val="22"/>
        </w:rPr>
        <w:t xml:space="preserve">, but there is considerable variation in state funding by state. </w:t>
      </w:r>
      <w:r>
        <w:rPr>
          <w:sz w:val="22"/>
          <w:szCs w:val="22"/>
        </w:rPr>
        <w:t>For example,</w:t>
      </w:r>
      <w:r w:rsidRPr="00DF07A0">
        <w:rPr>
          <w:sz w:val="22"/>
          <w:szCs w:val="22"/>
        </w:rPr>
        <w:t xml:space="preserve"> in </w:t>
      </w:r>
      <w:r w:rsidR="006C030C">
        <w:rPr>
          <w:sz w:val="22"/>
          <w:szCs w:val="22"/>
        </w:rPr>
        <w:t xml:space="preserve">the </w:t>
      </w:r>
      <w:r>
        <w:rPr>
          <w:sz w:val="22"/>
          <w:szCs w:val="22"/>
        </w:rPr>
        <w:t>school year 2006-2007</w:t>
      </w:r>
      <w:r w:rsidRPr="00DF07A0">
        <w:rPr>
          <w:sz w:val="22"/>
          <w:szCs w:val="22"/>
        </w:rPr>
        <w:t xml:space="preserve">, the </w:t>
      </w:r>
      <w:r>
        <w:rPr>
          <w:sz w:val="22"/>
          <w:szCs w:val="22"/>
        </w:rPr>
        <w:t>highest</w:t>
      </w:r>
      <w:r w:rsidRPr="00DF07A0">
        <w:rPr>
          <w:sz w:val="22"/>
          <w:szCs w:val="22"/>
        </w:rPr>
        <w:t xml:space="preserve"> share of public</w:t>
      </w:r>
      <w:r>
        <w:rPr>
          <w:sz w:val="22"/>
          <w:szCs w:val="22"/>
        </w:rPr>
        <w:t>-</w:t>
      </w:r>
      <w:r w:rsidRPr="00DF07A0">
        <w:rPr>
          <w:sz w:val="22"/>
          <w:szCs w:val="22"/>
        </w:rPr>
        <w:t xml:space="preserve">school funds from state government </w:t>
      </w:r>
      <w:r w:rsidR="003304C6">
        <w:rPr>
          <w:sz w:val="22"/>
          <w:szCs w:val="22"/>
        </w:rPr>
        <w:t>was</w:t>
      </w:r>
      <w:r w:rsidRPr="00DF07A0">
        <w:rPr>
          <w:sz w:val="22"/>
          <w:szCs w:val="22"/>
        </w:rPr>
        <w:t xml:space="preserve"> </w:t>
      </w:r>
      <w:r w:rsidR="003304C6">
        <w:rPr>
          <w:sz w:val="22"/>
          <w:szCs w:val="22"/>
        </w:rPr>
        <w:t>57</w:t>
      </w:r>
      <w:r w:rsidRPr="00DF07A0">
        <w:rPr>
          <w:sz w:val="22"/>
          <w:szCs w:val="22"/>
        </w:rPr>
        <w:t xml:space="preserve">% in </w:t>
      </w:r>
      <w:r>
        <w:rPr>
          <w:sz w:val="22"/>
          <w:szCs w:val="22"/>
        </w:rPr>
        <w:t xml:space="preserve">Vermont and the lowest share </w:t>
      </w:r>
      <w:r w:rsidR="003304C6">
        <w:rPr>
          <w:sz w:val="22"/>
          <w:szCs w:val="22"/>
        </w:rPr>
        <w:t>was 15</w:t>
      </w:r>
      <w:r>
        <w:rPr>
          <w:sz w:val="22"/>
          <w:szCs w:val="22"/>
        </w:rPr>
        <w:t xml:space="preserve">% in South </w:t>
      </w:r>
      <w:r>
        <w:rPr>
          <w:rFonts w:hint="eastAsia"/>
          <w:sz w:val="22"/>
          <w:szCs w:val="22"/>
        </w:rPr>
        <w:t>Dakota</w:t>
      </w:r>
      <w:r w:rsidRPr="00DF07A0">
        <w:rPr>
          <w:sz w:val="22"/>
          <w:szCs w:val="22"/>
        </w:rPr>
        <w:t>.</w:t>
      </w:r>
      <w:r w:rsidRPr="00DF07A0">
        <w:rPr>
          <w:sz w:val="22"/>
          <w:szCs w:val="22"/>
          <w:vertAlign w:val="superscript"/>
        </w:rPr>
        <w:footnoteReference w:id="6"/>
      </w:r>
      <w:r w:rsidRPr="00DF07A0">
        <w:rPr>
          <w:sz w:val="22"/>
          <w:szCs w:val="22"/>
        </w:rPr>
        <w:t xml:space="preserve"> </w:t>
      </w:r>
    </w:p>
    <w:p w14:paraId="6A8F2664" w14:textId="69BF17BC" w:rsidR="001D774A" w:rsidRDefault="003E6BE6" w:rsidP="001D774A">
      <w:pPr>
        <w:spacing w:line="360" w:lineRule="auto"/>
        <w:jc w:val="both"/>
        <w:rPr>
          <w:sz w:val="22"/>
          <w:szCs w:val="22"/>
        </w:rPr>
      </w:pPr>
      <w:r>
        <w:rPr>
          <w:sz w:val="22"/>
          <w:szCs w:val="22"/>
        </w:rPr>
        <w:t xml:space="preserve">           </w:t>
      </w:r>
      <w:r w:rsidR="001D774A">
        <w:rPr>
          <w:sz w:val="22"/>
          <w:szCs w:val="22"/>
        </w:rPr>
        <w:t xml:space="preserve">To get a clear understanding of the composition </w:t>
      </w:r>
      <w:r w:rsidR="006F0DD4">
        <w:rPr>
          <w:sz w:val="22"/>
          <w:szCs w:val="22"/>
        </w:rPr>
        <w:t>of local</w:t>
      </w:r>
      <w:r w:rsidR="001D774A">
        <w:rPr>
          <w:sz w:val="22"/>
          <w:szCs w:val="22"/>
        </w:rPr>
        <w:t xml:space="preserve"> and state tax revenues, in </w:t>
      </w:r>
      <w:r w:rsidR="006F0DD4">
        <w:rPr>
          <w:sz w:val="22"/>
          <w:szCs w:val="22"/>
        </w:rPr>
        <w:t>T</w:t>
      </w:r>
      <w:r w:rsidR="001D774A">
        <w:rPr>
          <w:sz w:val="22"/>
          <w:szCs w:val="22"/>
        </w:rPr>
        <w:t xml:space="preserve">able 1, I calculate </w:t>
      </w:r>
      <w:r w:rsidR="006F0DD4">
        <w:rPr>
          <w:sz w:val="22"/>
          <w:szCs w:val="22"/>
        </w:rPr>
        <w:t>using tax data from the year 2000, how different types of taxes contribute to total tax revenues at the local, state, and federal level.</w:t>
      </w:r>
      <w:r w:rsidR="001D774A" w:rsidRPr="00D53384">
        <w:rPr>
          <w:rStyle w:val="FootnoteReference"/>
          <w:sz w:val="22"/>
          <w:szCs w:val="22"/>
        </w:rPr>
        <w:t xml:space="preserve"> </w:t>
      </w:r>
      <w:r w:rsidR="001D774A" w:rsidRPr="00F172A6">
        <w:rPr>
          <w:rStyle w:val="FootnoteReference"/>
          <w:sz w:val="22"/>
          <w:szCs w:val="22"/>
        </w:rPr>
        <w:footnoteReference w:id="7"/>
      </w:r>
      <w:r w:rsidR="001D774A">
        <w:rPr>
          <w:sz w:val="22"/>
          <w:szCs w:val="22"/>
        </w:rPr>
        <w:t xml:space="preserve"> As displayed</w:t>
      </w:r>
      <w:r w:rsidR="001D774A" w:rsidRPr="00F172A6">
        <w:rPr>
          <w:sz w:val="22"/>
          <w:szCs w:val="22"/>
        </w:rPr>
        <w:t xml:space="preserve"> in </w:t>
      </w:r>
      <w:r w:rsidR="001D774A">
        <w:rPr>
          <w:sz w:val="22"/>
          <w:szCs w:val="22"/>
        </w:rPr>
        <w:t>the table</w:t>
      </w:r>
      <w:r w:rsidR="001D774A" w:rsidRPr="00F172A6">
        <w:rPr>
          <w:sz w:val="22"/>
          <w:szCs w:val="22"/>
        </w:rPr>
        <w:t xml:space="preserve">, local property tax accounts for </w:t>
      </w:r>
      <w:r w:rsidR="006F0DD4">
        <w:rPr>
          <w:sz w:val="22"/>
          <w:szCs w:val="22"/>
        </w:rPr>
        <w:t>72</w:t>
      </w:r>
      <w:r w:rsidR="001D774A" w:rsidRPr="00F172A6">
        <w:rPr>
          <w:sz w:val="22"/>
          <w:szCs w:val="22"/>
        </w:rPr>
        <w:t xml:space="preserve">% of total local tax revenue, local general sales tax </w:t>
      </w:r>
      <w:r w:rsidR="001D774A" w:rsidRPr="00F172A6">
        <w:rPr>
          <w:rFonts w:hint="eastAsia"/>
          <w:sz w:val="22"/>
          <w:szCs w:val="22"/>
        </w:rPr>
        <w:t>is</w:t>
      </w:r>
      <w:r w:rsidR="001D774A" w:rsidRPr="00F172A6">
        <w:rPr>
          <w:sz w:val="22"/>
          <w:szCs w:val="22"/>
        </w:rPr>
        <w:t xml:space="preserve"> the second largest part </w:t>
      </w:r>
      <w:r w:rsidR="001D774A" w:rsidRPr="00F172A6">
        <w:rPr>
          <w:rFonts w:hint="eastAsia"/>
          <w:sz w:val="22"/>
          <w:szCs w:val="22"/>
        </w:rPr>
        <w:t>and</w:t>
      </w:r>
      <w:r w:rsidR="001D774A" w:rsidRPr="00F172A6">
        <w:rPr>
          <w:sz w:val="22"/>
          <w:szCs w:val="22"/>
        </w:rPr>
        <w:t xml:space="preserve"> </w:t>
      </w:r>
      <w:r w:rsidR="001D774A" w:rsidRPr="00F172A6">
        <w:rPr>
          <w:rFonts w:hint="eastAsia"/>
          <w:sz w:val="22"/>
          <w:szCs w:val="22"/>
        </w:rPr>
        <w:t>contributes</w:t>
      </w:r>
      <w:r w:rsidR="001D774A" w:rsidRPr="00F172A6">
        <w:rPr>
          <w:sz w:val="22"/>
          <w:szCs w:val="22"/>
        </w:rPr>
        <w:t xml:space="preserve"> </w:t>
      </w:r>
      <w:r w:rsidR="006F0DD4">
        <w:rPr>
          <w:sz w:val="22"/>
          <w:szCs w:val="22"/>
        </w:rPr>
        <w:t>13</w:t>
      </w:r>
      <w:r w:rsidR="001D774A" w:rsidRPr="00F172A6">
        <w:rPr>
          <w:sz w:val="22"/>
          <w:szCs w:val="22"/>
        </w:rPr>
        <w:t xml:space="preserve">% of total local tax revenue. </w:t>
      </w:r>
      <w:r w:rsidR="006F0DD4">
        <w:rPr>
          <w:sz w:val="22"/>
          <w:szCs w:val="22"/>
        </w:rPr>
        <w:t>A</w:t>
      </w:r>
      <w:r w:rsidR="001D774A">
        <w:rPr>
          <w:sz w:val="22"/>
          <w:szCs w:val="22"/>
        </w:rPr>
        <w:t>ccording to the column 3 and 4 in Table 1</w:t>
      </w:r>
      <w:r w:rsidR="001D774A" w:rsidRPr="00DF07A0">
        <w:rPr>
          <w:sz w:val="22"/>
          <w:szCs w:val="22"/>
        </w:rPr>
        <w:t xml:space="preserve">, individual income tax </w:t>
      </w:r>
      <w:r w:rsidR="006F0DD4">
        <w:rPr>
          <w:sz w:val="22"/>
          <w:szCs w:val="22"/>
        </w:rPr>
        <w:t>makes up</w:t>
      </w:r>
      <w:r w:rsidR="001D774A">
        <w:rPr>
          <w:sz w:val="22"/>
          <w:szCs w:val="22"/>
        </w:rPr>
        <w:t xml:space="preserve"> </w:t>
      </w:r>
      <w:r w:rsidR="001D774A" w:rsidRPr="00DF07A0">
        <w:rPr>
          <w:sz w:val="22"/>
          <w:szCs w:val="22"/>
        </w:rPr>
        <w:t xml:space="preserve">37% of total state tax revenue, </w:t>
      </w:r>
      <w:r w:rsidR="006F0DD4">
        <w:rPr>
          <w:sz w:val="22"/>
          <w:szCs w:val="22"/>
        </w:rPr>
        <w:t xml:space="preserve">and </w:t>
      </w:r>
      <w:r w:rsidR="001D774A">
        <w:rPr>
          <w:sz w:val="22"/>
          <w:szCs w:val="22"/>
        </w:rPr>
        <w:t>the</w:t>
      </w:r>
      <w:r w:rsidR="001D774A" w:rsidRPr="00DF07A0">
        <w:rPr>
          <w:sz w:val="22"/>
          <w:szCs w:val="22"/>
        </w:rPr>
        <w:t xml:space="preserve"> </w:t>
      </w:r>
      <w:r w:rsidR="001D774A">
        <w:rPr>
          <w:sz w:val="22"/>
          <w:szCs w:val="22"/>
        </w:rPr>
        <w:t xml:space="preserve">second largest component </w:t>
      </w:r>
      <w:r w:rsidR="006F0DD4">
        <w:rPr>
          <w:sz w:val="22"/>
          <w:szCs w:val="22"/>
        </w:rPr>
        <w:t xml:space="preserve">is </w:t>
      </w:r>
      <w:r w:rsidR="001D774A" w:rsidRPr="00DF07A0">
        <w:rPr>
          <w:sz w:val="22"/>
          <w:szCs w:val="22"/>
        </w:rPr>
        <w:t xml:space="preserve">general sales tax </w:t>
      </w:r>
      <w:r w:rsidR="006F0DD4">
        <w:rPr>
          <w:sz w:val="22"/>
          <w:szCs w:val="22"/>
        </w:rPr>
        <w:t xml:space="preserve">which </w:t>
      </w:r>
      <w:r w:rsidR="001D774A" w:rsidRPr="00DF07A0">
        <w:rPr>
          <w:sz w:val="22"/>
          <w:szCs w:val="22"/>
        </w:rPr>
        <w:t xml:space="preserve">contributes </w:t>
      </w:r>
      <w:r w:rsidR="001D774A">
        <w:rPr>
          <w:sz w:val="22"/>
          <w:szCs w:val="22"/>
        </w:rPr>
        <w:t xml:space="preserve">another </w:t>
      </w:r>
      <w:r w:rsidR="006F0DD4">
        <w:rPr>
          <w:sz w:val="22"/>
          <w:szCs w:val="22"/>
        </w:rPr>
        <w:t>33</w:t>
      </w:r>
      <w:r w:rsidR="001D774A" w:rsidRPr="00DF07A0">
        <w:rPr>
          <w:sz w:val="22"/>
          <w:szCs w:val="22"/>
        </w:rPr>
        <w:t xml:space="preserve">%.  </w:t>
      </w:r>
    </w:p>
    <w:p w14:paraId="5C636A2B" w14:textId="5716C7A4" w:rsidR="00A20361" w:rsidRPr="00DF172C" w:rsidRDefault="001D774A" w:rsidP="006F0DD4">
      <w:pPr>
        <w:spacing w:after="100" w:line="340" w:lineRule="auto"/>
        <w:ind w:firstLine="720"/>
        <w:jc w:val="both"/>
        <w:rPr>
          <w:sz w:val="22"/>
          <w:szCs w:val="22"/>
        </w:rPr>
      </w:pPr>
      <w:r>
        <w:rPr>
          <w:sz w:val="22"/>
          <w:szCs w:val="22"/>
        </w:rPr>
        <w:t xml:space="preserve">Public schools in areas that are more negatively affected by Chinese import competition may face decreased funding from three different sources. </w:t>
      </w:r>
      <w:r w:rsidRPr="00DF172C">
        <w:rPr>
          <w:sz w:val="22"/>
          <w:szCs w:val="22"/>
        </w:rPr>
        <w:t>First, local governments</w:t>
      </w:r>
      <w:r>
        <w:rPr>
          <w:sz w:val="22"/>
          <w:szCs w:val="22"/>
        </w:rPr>
        <w:t xml:space="preserve"> may receive smaller tax revenues and so would have less money to provide to school districts</w:t>
      </w:r>
      <w:r w:rsidRPr="00DF172C">
        <w:rPr>
          <w:sz w:val="22"/>
          <w:szCs w:val="22"/>
        </w:rPr>
        <w:t xml:space="preserve">. </w:t>
      </w:r>
      <w:proofErr w:type="spellStart"/>
      <w:r w:rsidRPr="00DF172C">
        <w:rPr>
          <w:sz w:val="22"/>
          <w:szCs w:val="22"/>
        </w:rPr>
        <w:t>Feler</w:t>
      </w:r>
      <w:proofErr w:type="spellEnd"/>
      <w:r w:rsidRPr="00DF172C">
        <w:rPr>
          <w:sz w:val="22"/>
          <w:szCs w:val="22"/>
        </w:rPr>
        <w:t xml:space="preserve"> and Senses (2017) find </w:t>
      </w:r>
      <w:r>
        <w:rPr>
          <w:sz w:val="22"/>
          <w:szCs w:val="22"/>
        </w:rPr>
        <w:t xml:space="preserve">that </w:t>
      </w:r>
      <w:r w:rsidRPr="00DF172C">
        <w:rPr>
          <w:sz w:val="22"/>
          <w:szCs w:val="22"/>
        </w:rPr>
        <w:t>for every $1000 increase in Chinese import exposure per worker, median house value</w:t>
      </w:r>
      <w:r>
        <w:rPr>
          <w:sz w:val="22"/>
          <w:szCs w:val="22"/>
        </w:rPr>
        <w:t xml:space="preserve">s decrease </w:t>
      </w:r>
      <w:r w:rsidRPr="00DF172C">
        <w:rPr>
          <w:sz w:val="22"/>
          <w:szCs w:val="22"/>
        </w:rPr>
        <w:t xml:space="preserve">by 5.4% </w:t>
      </w:r>
      <w:r w:rsidRPr="00DF172C">
        <w:rPr>
          <w:rFonts w:hint="eastAsia"/>
          <w:sz w:val="22"/>
          <w:szCs w:val="22"/>
        </w:rPr>
        <w:t>or</w:t>
      </w:r>
      <w:r w:rsidRPr="00DF172C">
        <w:rPr>
          <w:sz w:val="22"/>
          <w:szCs w:val="22"/>
        </w:rPr>
        <w:t xml:space="preserve"> </w:t>
      </w:r>
      <w:r w:rsidRPr="00DF172C">
        <w:rPr>
          <w:rFonts w:hint="eastAsia"/>
          <w:sz w:val="22"/>
          <w:szCs w:val="22"/>
        </w:rPr>
        <w:t>$7</w:t>
      </w:r>
      <w:r w:rsidRPr="00DF172C">
        <w:rPr>
          <w:sz w:val="22"/>
          <w:szCs w:val="22"/>
        </w:rPr>
        <w:t>660,</w:t>
      </w:r>
      <w:r>
        <w:rPr>
          <w:sz w:val="22"/>
          <w:szCs w:val="22"/>
        </w:rPr>
        <w:t xml:space="preserve"> so, unless local governments increase the property tax rates, the local tax revenue will </w:t>
      </w:r>
      <w:r w:rsidR="006F0DD4">
        <w:rPr>
          <w:sz w:val="22"/>
          <w:szCs w:val="22"/>
        </w:rPr>
        <w:t>decrease</w:t>
      </w:r>
      <w:r>
        <w:rPr>
          <w:sz w:val="22"/>
          <w:szCs w:val="22"/>
        </w:rPr>
        <w:t xml:space="preserve">. </w:t>
      </w:r>
    </w:p>
    <w:p w14:paraId="6CECCFA1" w14:textId="4879DB11" w:rsidR="00A20361" w:rsidRPr="00107462" w:rsidRDefault="00583D50" w:rsidP="00780218">
      <w:pPr>
        <w:spacing w:after="100" w:line="340" w:lineRule="auto"/>
        <w:ind w:firstLine="720"/>
        <w:jc w:val="both"/>
        <w:rPr>
          <w:sz w:val="22"/>
          <w:szCs w:val="22"/>
        </w:rPr>
      </w:pPr>
      <w:r>
        <w:rPr>
          <w:sz w:val="22"/>
          <w:szCs w:val="22"/>
        </w:rPr>
        <w:t>Second,</w:t>
      </w:r>
      <w:r w:rsidR="009869C6">
        <w:rPr>
          <w:sz w:val="22"/>
          <w:szCs w:val="22"/>
        </w:rPr>
        <w:t xml:space="preserve"> </w:t>
      </w:r>
      <w:r>
        <w:rPr>
          <w:sz w:val="22"/>
          <w:szCs w:val="22"/>
        </w:rPr>
        <w:t>t</w:t>
      </w:r>
      <w:r w:rsidR="00A20361" w:rsidRPr="00107462">
        <w:rPr>
          <w:sz w:val="22"/>
          <w:szCs w:val="22"/>
        </w:rPr>
        <w:t>ax revenues for state government</w:t>
      </w:r>
      <w:r w:rsidR="00780218">
        <w:rPr>
          <w:sz w:val="22"/>
          <w:szCs w:val="22"/>
        </w:rPr>
        <w:t>s</w:t>
      </w:r>
      <w:r w:rsidR="00A20361" w:rsidRPr="00107462">
        <w:rPr>
          <w:sz w:val="22"/>
          <w:szCs w:val="22"/>
        </w:rPr>
        <w:t xml:space="preserve"> </w:t>
      </w:r>
      <w:r w:rsidR="002E05E9">
        <w:rPr>
          <w:sz w:val="22"/>
          <w:szCs w:val="22"/>
        </w:rPr>
        <w:t>are</w:t>
      </w:r>
      <w:r w:rsidR="00A20361" w:rsidRPr="00107462">
        <w:rPr>
          <w:sz w:val="22"/>
          <w:szCs w:val="22"/>
        </w:rPr>
        <w:t xml:space="preserve"> mostly </w:t>
      </w:r>
      <w:r w:rsidR="002E05E9">
        <w:rPr>
          <w:sz w:val="22"/>
          <w:szCs w:val="22"/>
        </w:rPr>
        <w:t>collected as</w:t>
      </w:r>
      <w:r w:rsidR="00A20361" w:rsidRPr="00107462">
        <w:rPr>
          <w:sz w:val="22"/>
          <w:szCs w:val="22"/>
        </w:rPr>
        <w:t xml:space="preserve"> individual income tax</w:t>
      </w:r>
      <w:r w:rsidR="002E05E9">
        <w:rPr>
          <w:sz w:val="22"/>
          <w:szCs w:val="22"/>
        </w:rPr>
        <w:t>es</w:t>
      </w:r>
      <w:r w:rsidR="00A20361" w:rsidRPr="00107462">
        <w:rPr>
          <w:sz w:val="22"/>
          <w:szCs w:val="22"/>
        </w:rPr>
        <w:t xml:space="preserve"> and general sales tax</w:t>
      </w:r>
      <w:r w:rsidR="002E05E9">
        <w:rPr>
          <w:sz w:val="22"/>
          <w:szCs w:val="22"/>
        </w:rPr>
        <w:t xml:space="preserve">es. Given that import competition results in decreases in employment and </w:t>
      </w:r>
      <w:r w:rsidR="005F61A8">
        <w:rPr>
          <w:sz w:val="22"/>
          <w:szCs w:val="22"/>
        </w:rPr>
        <w:t>wages (Autor et al. 2013), s</w:t>
      </w:r>
      <w:r w:rsidR="00A20361" w:rsidRPr="00107462">
        <w:rPr>
          <w:sz w:val="22"/>
          <w:szCs w:val="22"/>
        </w:rPr>
        <w:t xml:space="preserve">tates with </w:t>
      </w:r>
      <w:r w:rsidR="002E05E9">
        <w:rPr>
          <w:sz w:val="22"/>
          <w:szCs w:val="22"/>
        </w:rPr>
        <w:t>a larger initial share of employment in the industries facing more Chinese competition are likely to have smaller income and sales revenues</w:t>
      </w:r>
      <w:r w:rsidR="005F61A8">
        <w:rPr>
          <w:sz w:val="22"/>
          <w:szCs w:val="22"/>
        </w:rPr>
        <w:t xml:space="preserve"> and so will have less funding available to distribute to school districts in the state</w:t>
      </w:r>
      <w:r w:rsidR="002E05E9">
        <w:rPr>
          <w:sz w:val="22"/>
          <w:szCs w:val="22"/>
        </w:rPr>
        <w:t xml:space="preserve">. If states do not change their formulas for funding </w:t>
      </w:r>
      <w:r w:rsidR="005F61A8">
        <w:rPr>
          <w:sz w:val="22"/>
          <w:szCs w:val="22"/>
        </w:rPr>
        <w:t xml:space="preserve">the </w:t>
      </w:r>
      <w:r w:rsidR="002E05E9">
        <w:rPr>
          <w:sz w:val="22"/>
          <w:szCs w:val="22"/>
        </w:rPr>
        <w:t xml:space="preserve">different school districts, </w:t>
      </w:r>
      <w:r w:rsidR="002E05E9">
        <w:rPr>
          <w:sz w:val="22"/>
          <w:szCs w:val="22"/>
        </w:rPr>
        <w:lastRenderedPageBreak/>
        <w:t xml:space="preserve">then all school districts in states experiencing trade-induced income shocks are likely to receive less state funding—regardless of amount of job loss in the local area. </w:t>
      </w:r>
    </w:p>
    <w:p w14:paraId="6C575C19" w14:textId="538EAEA0" w:rsidR="001904F1" w:rsidRDefault="00A20361" w:rsidP="00A20361">
      <w:pPr>
        <w:spacing w:after="100" w:line="340" w:lineRule="auto"/>
        <w:jc w:val="both"/>
        <w:rPr>
          <w:sz w:val="22"/>
          <w:szCs w:val="22"/>
        </w:rPr>
      </w:pPr>
      <w:r>
        <w:rPr>
          <w:sz w:val="22"/>
          <w:szCs w:val="22"/>
        </w:rPr>
        <w:t xml:space="preserve">            </w:t>
      </w:r>
      <w:r w:rsidR="009869C6">
        <w:rPr>
          <w:sz w:val="22"/>
          <w:szCs w:val="22"/>
        </w:rPr>
        <w:t xml:space="preserve">The last major revenue source </w:t>
      </w:r>
      <w:r w:rsidR="00824D77">
        <w:rPr>
          <w:sz w:val="22"/>
          <w:szCs w:val="22"/>
        </w:rPr>
        <w:t xml:space="preserve">for school districts is </w:t>
      </w:r>
      <w:r w:rsidR="009869C6">
        <w:rPr>
          <w:sz w:val="22"/>
          <w:szCs w:val="22"/>
        </w:rPr>
        <w:t xml:space="preserve">the federal government. </w:t>
      </w:r>
      <w:r w:rsidR="005F61A8">
        <w:rPr>
          <w:sz w:val="22"/>
          <w:szCs w:val="22"/>
        </w:rPr>
        <w:t xml:space="preserve">Because most of the best identified papers examining trade shocks exploit within country variation in exposure to the shocks (e.g. Autor et al. 2013), it is difficult </w:t>
      </w:r>
      <w:r w:rsidR="001904F1">
        <w:rPr>
          <w:sz w:val="22"/>
          <w:szCs w:val="22"/>
        </w:rPr>
        <w:t xml:space="preserve">to determine how Chinese import exposure has affected federal tax revenues. Regardless of whether or even how much federal tax revenues change and despite the fact that </w:t>
      </w:r>
      <w:r w:rsidR="001904F1" w:rsidRPr="001904F1">
        <w:rPr>
          <w:sz w:val="22"/>
          <w:szCs w:val="22"/>
        </w:rPr>
        <w:t xml:space="preserve">federal revenue only accounts for less than 10 </w:t>
      </w:r>
      <w:r w:rsidR="00B44B52">
        <w:rPr>
          <w:sz w:val="22"/>
          <w:szCs w:val="22"/>
        </w:rPr>
        <w:t>percent</w:t>
      </w:r>
      <w:r w:rsidR="00B44B52" w:rsidRPr="001904F1">
        <w:rPr>
          <w:sz w:val="22"/>
          <w:szCs w:val="22"/>
        </w:rPr>
        <w:t xml:space="preserve"> </w:t>
      </w:r>
      <w:r w:rsidR="001904F1" w:rsidRPr="001904F1">
        <w:rPr>
          <w:sz w:val="22"/>
          <w:szCs w:val="22"/>
        </w:rPr>
        <w:t>of total school funding</w:t>
      </w:r>
      <w:r w:rsidR="001904F1">
        <w:rPr>
          <w:sz w:val="22"/>
          <w:szCs w:val="22"/>
        </w:rPr>
        <w:t xml:space="preserve"> (</w:t>
      </w:r>
      <w:r w:rsidR="00E94737">
        <w:rPr>
          <w:sz w:val="22"/>
          <w:szCs w:val="22"/>
        </w:rPr>
        <w:t>Howell and Miller 1997</w:t>
      </w:r>
      <w:r w:rsidR="001904F1">
        <w:rPr>
          <w:sz w:val="22"/>
          <w:szCs w:val="22"/>
        </w:rPr>
        <w:t xml:space="preserve">), the federal government may be able to at least somewhat compensate school districts experiencing the largest import induced funding losses. </w:t>
      </w:r>
    </w:p>
    <w:p w14:paraId="4675FB6D" w14:textId="77777777" w:rsidR="00A20361" w:rsidRPr="005B294B" w:rsidRDefault="00A20361" w:rsidP="00A20361">
      <w:pPr>
        <w:spacing w:line="200" w:lineRule="atLeast"/>
        <w:jc w:val="both"/>
      </w:pPr>
    </w:p>
    <w:p w14:paraId="5F231D8E" w14:textId="77777777" w:rsidR="00B44B52" w:rsidRPr="00824D77" w:rsidRDefault="00B44B52" w:rsidP="00B44B52">
      <w:pPr>
        <w:spacing w:line="200" w:lineRule="atLeast"/>
        <w:jc w:val="both"/>
        <w:rPr>
          <w:b/>
        </w:rPr>
      </w:pPr>
      <w:r w:rsidRPr="00824D77">
        <w:rPr>
          <w:b/>
        </w:rPr>
        <w:t>3. Data and Measurement</w:t>
      </w:r>
    </w:p>
    <w:p w14:paraId="6131B9A2" w14:textId="77777777" w:rsidR="00B44B52" w:rsidRPr="005B294B" w:rsidRDefault="00B44B52" w:rsidP="00B44B52">
      <w:pPr>
        <w:spacing w:line="200" w:lineRule="atLeast"/>
        <w:jc w:val="both"/>
      </w:pPr>
    </w:p>
    <w:p w14:paraId="4BAB6F04" w14:textId="77777777" w:rsidR="00B44B52" w:rsidRPr="005B294B" w:rsidRDefault="00B44B52" w:rsidP="00B44B52">
      <w:pPr>
        <w:spacing w:line="360" w:lineRule="auto"/>
        <w:jc w:val="both"/>
        <w:rPr>
          <w:sz w:val="22"/>
          <w:szCs w:val="22"/>
        </w:rPr>
      </w:pPr>
      <w:r>
        <w:rPr>
          <w:rFonts w:hint="eastAsia"/>
          <w:sz w:val="22"/>
          <w:szCs w:val="22"/>
        </w:rPr>
        <w:t>In</w:t>
      </w:r>
      <w:r>
        <w:rPr>
          <w:sz w:val="22"/>
          <w:szCs w:val="22"/>
        </w:rPr>
        <w:t xml:space="preserve"> </w:t>
      </w:r>
      <w:r>
        <w:rPr>
          <w:rFonts w:hint="eastAsia"/>
          <w:sz w:val="22"/>
          <w:szCs w:val="22"/>
        </w:rPr>
        <w:t>this</w:t>
      </w:r>
      <w:r>
        <w:rPr>
          <w:sz w:val="22"/>
          <w:szCs w:val="22"/>
        </w:rPr>
        <w:t xml:space="preserve"> paper, commuting</w:t>
      </w:r>
      <w:r w:rsidRPr="005B294B">
        <w:rPr>
          <w:sz w:val="22"/>
          <w:szCs w:val="22"/>
        </w:rPr>
        <w:t xml:space="preserve"> zones (CZs)</w:t>
      </w:r>
      <w:r>
        <w:rPr>
          <w:sz w:val="22"/>
          <w:szCs w:val="22"/>
        </w:rPr>
        <w:t xml:space="preserve"> are used to measure local labor markets. D</w:t>
      </w:r>
      <w:r w:rsidRPr="005B294B">
        <w:rPr>
          <w:sz w:val="22"/>
          <w:szCs w:val="22"/>
        </w:rPr>
        <w:t xml:space="preserve">eveloped by Tolbert and Sizer (1996), </w:t>
      </w:r>
      <w:r>
        <w:rPr>
          <w:sz w:val="22"/>
          <w:szCs w:val="22"/>
        </w:rPr>
        <w:t xml:space="preserve">CZs are similar to metropolitan statistical areas, but the </w:t>
      </w:r>
      <w:r w:rsidRPr="005B294B">
        <w:rPr>
          <w:sz w:val="22"/>
          <w:szCs w:val="22"/>
        </w:rPr>
        <w:t xml:space="preserve">741 CZs cover the entire US. Each CZ is a cluster of counties </w:t>
      </w:r>
      <w:r>
        <w:rPr>
          <w:sz w:val="22"/>
          <w:szCs w:val="22"/>
        </w:rPr>
        <w:t xml:space="preserve">with </w:t>
      </w:r>
      <w:r w:rsidRPr="005B294B">
        <w:rPr>
          <w:sz w:val="22"/>
          <w:szCs w:val="22"/>
        </w:rPr>
        <w:t xml:space="preserve">strong commuting ties within and weak commuting ties across. </w:t>
      </w:r>
      <w:r>
        <w:rPr>
          <w:sz w:val="22"/>
          <w:szCs w:val="22"/>
        </w:rPr>
        <w:t>Following Autor et al. (2013)</w:t>
      </w:r>
      <w:r w:rsidRPr="005B294B">
        <w:rPr>
          <w:sz w:val="22"/>
          <w:szCs w:val="22"/>
        </w:rPr>
        <w:t xml:space="preserve">, I use </w:t>
      </w:r>
      <w:r>
        <w:rPr>
          <w:sz w:val="22"/>
          <w:szCs w:val="22"/>
        </w:rPr>
        <w:t xml:space="preserve">the </w:t>
      </w:r>
      <w:r w:rsidRPr="005B294B">
        <w:rPr>
          <w:sz w:val="22"/>
          <w:szCs w:val="22"/>
        </w:rPr>
        <w:t xml:space="preserve">722 CZs </w:t>
      </w:r>
      <w:r>
        <w:rPr>
          <w:sz w:val="22"/>
          <w:szCs w:val="22"/>
        </w:rPr>
        <w:t>in the continental</w:t>
      </w:r>
      <w:r w:rsidRPr="005B294B">
        <w:rPr>
          <w:sz w:val="22"/>
          <w:szCs w:val="22"/>
        </w:rPr>
        <w:t xml:space="preserve"> 48 states. </w:t>
      </w:r>
    </w:p>
    <w:p w14:paraId="0ACECD44" w14:textId="77777777" w:rsidR="00B44B52" w:rsidRPr="005B294B" w:rsidRDefault="00B44B52" w:rsidP="00B44B52">
      <w:pPr>
        <w:spacing w:line="360" w:lineRule="auto"/>
        <w:jc w:val="both"/>
        <w:rPr>
          <w:sz w:val="22"/>
          <w:szCs w:val="22"/>
        </w:rPr>
      </w:pPr>
      <w:r>
        <w:rPr>
          <w:sz w:val="22"/>
          <w:szCs w:val="22"/>
        </w:rPr>
        <w:t xml:space="preserve">            </w:t>
      </w:r>
      <w:r w:rsidRPr="005B294B">
        <w:rPr>
          <w:sz w:val="22"/>
          <w:szCs w:val="22"/>
        </w:rPr>
        <w:t>The measure</w:t>
      </w:r>
      <w:r>
        <w:rPr>
          <w:sz w:val="22"/>
          <w:szCs w:val="22"/>
        </w:rPr>
        <w:t xml:space="preserve"> </w:t>
      </w:r>
      <w:r w:rsidRPr="005B294B">
        <w:rPr>
          <w:sz w:val="22"/>
          <w:szCs w:val="22"/>
        </w:rPr>
        <w:t>of Chinese import exposure in each local labor market is constructed follow</w:t>
      </w:r>
      <w:r>
        <w:rPr>
          <w:sz w:val="22"/>
          <w:szCs w:val="22"/>
        </w:rPr>
        <w:t>ing</w:t>
      </w:r>
      <w:r w:rsidRPr="005B294B">
        <w:rPr>
          <w:sz w:val="22"/>
          <w:szCs w:val="22"/>
        </w:rPr>
        <w:t xml:space="preserve"> Autor et al. (2013): </w:t>
      </w:r>
    </w:p>
    <w:p w14:paraId="3AA550E4" w14:textId="77777777" w:rsidR="00B44B52" w:rsidRPr="00DD79A2" w:rsidRDefault="00157748" w:rsidP="00B44B52">
      <w:pPr>
        <w:spacing w:after="100" w:line="340" w:lineRule="atLeast"/>
        <w:jc w:val="both"/>
        <w:rPr>
          <w:sz w:val="22"/>
          <w:szCs w:val="22"/>
        </w:rPr>
      </w:pPr>
      <m:oMathPara>
        <m:oMath>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it</m:t>
              </m:r>
            </m:sub>
            <m:sup>
              <m:r>
                <w:rPr>
                  <w:rFonts w:ascii="Cambria Math" w:hAnsi="Cambria Math"/>
                  <w:sz w:val="22"/>
                  <w:szCs w:val="22"/>
                </w:rPr>
                <m:t>u</m:t>
              </m:r>
            </m:sup>
          </m:sSubSup>
          <m:r>
            <m:rPr>
              <m:sty m:val="p"/>
            </m:rPr>
            <w:rPr>
              <w:rFonts w:ascii="Cambria Math" w:hAnsi="Cambria Math"/>
              <w:sz w:val="22"/>
              <w:szCs w:val="22"/>
            </w:rPr>
            <m:t xml:space="preserve"> =</m:t>
          </m:r>
          <m:nary>
            <m:naryPr>
              <m:chr m:val="∑"/>
              <m:limLoc m:val="undOvr"/>
              <m:supHide m:val="1"/>
              <m:ctrlPr>
                <w:rPr>
                  <w:rFonts w:ascii="Cambria Math" w:hAnsi="Cambria Math"/>
                  <w:sz w:val="22"/>
                  <w:szCs w:val="22"/>
                </w:rPr>
              </m:ctrlPr>
            </m:naryPr>
            <m:sub>
              <m:r>
                <m:rPr>
                  <m:sty m:val="p"/>
                </m:rPr>
                <w:rPr>
                  <w:rFonts w:ascii="Cambria Math" w:hAnsi="Cambria Math"/>
                  <w:sz w:val="22"/>
                  <w:szCs w:val="22"/>
                </w:rPr>
                <m:t>j</m:t>
              </m:r>
            </m:sub>
            <m:sup/>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ijt</m:t>
                      </m:r>
                    </m:sub>
                  </m:sSub>
                </m:num>
                <m:den>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it</m:t>
                      </m:r>
                    </m:sub>
                  </m:sSub>
                </m:den>
              </m:f>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ucjt</m:t>
                      </m:r>
                    </m:sub>
                  </m:sSub>
                </m:num>
                <m:den>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ujt</m:t>
                      </m:r>
                    </m:sub>
                  </m:sSub>
                </m:den>
              </m:f>
            </m:e>
          </m:nary>
        </m:oMath>
      </m:oMathPara>
    </w:p>
    <w:p w14:paraId="731D1497" w14:textId="77777777" w:rsidR="00B44B52" w:rsidRPr="005B294B" w:rsidRDefault="00B44B52" w:rsidP="00B44B52">
      <w:pPr>
        <w:spacing w:after="100" w:line="340" w:lineRule="atLeast"/>
        <w:jc w:val="both"/>
        <w:rPr>
          <w:sz w:val="22"/>
          <w:szCs w:val="22"/>
        </w:rPr>
      </w:pPr>
      <w:r>
        <w:rPr>
          <w:sz w:val="22"/>
          <w:szCs w:val="22"/>
        </w:rPr>
        <w:t xml:space="preserve">where </w:t>
      </w:r>
      <m:oMath>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ijt</m:t>
            </m:r>
          </m:sub>
        </m:sSub>
      </m:oMath>
      <w:r w:rsidRPr="005B294B">
        <w:rPr>
          <w:sz w:val="22"/>
          <w:szCs w:val="22"/>
        </w:rPr>
        <w:t xml:space="preserve"> is the start of period</w:t>
      </w:r>
      <w:r>
        <w:rPr>
          <w:sz w:val="22"/>
          <w:szCs w:val="22"/>
        </w:rPr>
        <w:t xml:space="preserve"> </w:t>
      </w:r>
      <w:r w:rsidRPr="005A2085">
        <w:rPr>
          <w:i/>
          <w:sz w:val="22"/>
          <w:szCs w:val="22"/>
        </w:rPr>
        <w:t>t</w:t>
      </w:r>
      <w:r w:rsidRPr="005B294B">
        <w:rPr>
          <w:sz w:val="22"/>
          <w:szCs w:val="22"/>
        </w:rPr>
        <w:t xml:space="preserve"> employment in industry</w:t>
      </w:r>
      <w:r w:rsidRPr="005B294B">
        <w:rPr>
          <w:rStyle w:val="FootnoteReference"/>
          <w:sz w:val="22"/>
          <w:szCs w:val="22"/>
        </w:rPr>
        <w:footnoteReference w:id="8"/>
      </w:r>
      <w:r w:rsidRPr="005B294B">
        <w:rPr>
          <w:sz w:val="22"/>
          <w:szCs w:val="22"/>
        </w:rPr>
        <w:t xml:space="preserve"> </w:t>
      </w:r>
      <w:r w:rsidRPr="005B294B">
        <w:rPr>
          <w:i/>
          <w:sz w:val="22"/>
          <w:szCs w:val="22"/>
        </w:rPr>
        <w:t>j</w:t>
      </w:r>
      <w:r w:rsidRPr="005B294B">
        <w:rPr>
          <w:sz w:val="22"/>
          <w:szCs w:val="22"/>
        </w:rPr>
        <w:t xml:space="preserve"> in CZ </w:t>
      </w:r>
      <w:proofErr w:type="spellStart"/>
      <w:r w:rsidRPr="005B294B">
        <w:rPr>
          <w:i/>
          <w:sz w:val="22"/>
          <w:szCs w:val="22"/>
        </w:rPr>
        <w:t>i</w:t>
      </w:r>
      <w:proofErr w:type="spellEnd"/>
      <w:r w:rsidRPr="005B294B">
        <w:rPr>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it</m:t>
            </m:r>
          </m:sub>
        </m:sSub>
      </m:oMath>
      <w:r w:rsidRPr="005B294B">
        <w:rPr>
          <w:sz w:val="22"/>
          <w:szCs w:val="22"/>
        </w:rPr>
        <w:t xml:space="preserve"> is the start of period employment in CZ </w:t>
      </w:r>
      <w:proofErr w:type="spellStart"/>
      <w:r w:rsidRPr="005B294B">
        <w:rPr>
          <w:i/>
          <w:sz w:val="22"/>
          <w:szCs w:val="22"/>
        </w:rPr>
        <w:t>i</w:t>
      </w:r>
      <w:proofErr w:type="spellEnd"/>
      <w:r w:rsidRPr="005B294B">
        <w:rPr>
          <w:sz w:val="22"/>
          <w:szCs w:val="22"/>
        </w:rPr>
        <w:t xml:space="preserve">, </w:t>
      </w:r>
      <w:r>
        <w:rPr>
          <w:sz w:val="22"/>
          <w:szCs w:val="22"/>
        </w:rPr>
        <w:t xml:space="preserve">and so </w:t>
      </w:r>
      <w:r w:rsidRPr="005B294B">
        <w:rPr>
          <w:sz w:val="22"/>
          <w:szCs w:val="22"/>
        </w:rPr>
        <w:t xml:space="preserve">the ratio of </w:t>
      </w:r>
      <m:oMath>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ijt</m:t>
            </m:r>
          </m:sub>
        </m:sSub>
      </m:oMath>
      <w:r w:rsidRPr="005B294B">
        <w:rPr>
          <w:sz w:val="22"/>
          <w:szCs w:val="22"/>
        </w:rPr>
        <w:t xml:space="preserve"> </w:t>
      </w:r>
      <w:r>
        <w:rPr>
          <w:sz w:val="22"/>
          <w:szCs w:val="22"/>
        </w:rPr>
        <w:t>to</w:t>
      </w:r>
      <w:r w:rsidRPr="005B294B">
        <w:rPr>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it</m:t>
            </m:r>
          </m:sub>
        </m:sSub>
      </m:oMath>
      <w:r w:rsidRPr="005B294B">
        <w:rPr>
          <w:sz w:val="22"/>
          <w:szCs w:val="22"/>
        </w:rPr>
        <w:t xml:space="preserve"> </w:t>
      </w:r>
      <w:r>
        <w:rPr>
          <w:sz w:val="22"/>
          <w:szCs w:val="22"/>
        </w:rPr>
        <w:t>depicts</w:t>
      </w:r>
      <w:r w:rsidRPr="005B294B">
        <w:rPr>
          <w:sz w:val="22"/>
          <w:szCs w:val="22"/>
        </w:rPr>
        <w:t xml:space="preserve"> the industrial employment structure </w:t>
      </w:r>
      <w:r>
        <w:rPr>
          <w:sz w:val="22"/>
          <w:szCs w:val="22"/>
        </w:rPr>
        <w:t xml:space="preserve">of CZ </w:t>
      </w:r>
      <w:proofErr w:type="spellStart"/>
      <w:r w:rsidRPr="00DD79A2">
        <w:rPr>
          <w:i/>
          <w:sz w:val="22"/>
          <w:szCs w:val="22"/>
        </w:rPr>
        <w:t>i</w:t>
      </w:r>
      <w:proofErr w:type="spellEnd"/>
      <w:r>
        <w:rPr>
          <w:sz w:val="22"/>
          <w:szCs w:val="22"/>
        </w:rPr>
        <w:t xml:space="preserve"> </w:t>
      </w:r>
      <w:r w:rsidRPr="005B294B">
        <w:rPr>
          <w:sz w:val="22"/>
          <w:szCs w:val="22"/>
        </w:rPr>
        <w:t xml:space="preserve">in year </w:t>
      </w:r>
      <w:r w:rsidRPr="002B1B17">
        <w:rPr>
          <w:i/>
          <w:sz w:val="22"/>
          <w:szCs w:val="22"/>
        </w:rPr>
        <w:t>t</w:t>
      </w:r>
      <w:r w:rsidRPr="005B294B">
        <w:rPr>
          <w:sz w:val="22"/>
          <w:szCs w:val="22"/>
        </w:rPr>
        <w:t>.</w:t>
      </w:r>
      <m:oMath>
        <m:r>
          <m:rPr>
            <m:sty m:val="p"/>
          </m:rPr>
          <w:rPr>
            <w:rFonts w:ascii="Cambria Math" w:hAnsi="Cambria Math"/>
            <w:sz w:val="22"/>
            <w:szCs w:val="22"/>
          </w:rPr>
          <m:t xml:space="preserve"> </m:t>
        </m:r>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ucjt</m:t>
            </m:r>
          </m:sub>
        </m:sSub>
      </m:oMath>
      <w:r w:rsidRPr="005B294B">
        <w:rPr>
          <w:sz w:val="22"/>
          <w:szCs w:val="22"/>
        </w:rPr>
        <w:t xml:space="preserve"> is the change in import</w:t>
      </w:r>
      <w:r>
        <w:rPr>
          <w:sz w:val="22"/>
          <w:szCs w:val="22"/>
        </w:rPr>
        <w:t>s</w:t>
      </w:r>
      <w:r w:rsidRPr="005B294B">
        <w:rPr>
          <w:sz w:val="22"/>
          <w:szCs w:val="22"/>
        </w:rPr>
        <w:t xml:space="preserve"> from China </w:t>
      </w:r>
      <w:r>
        <w:rPr>
          <w:sz w:val="22"/>
          <w:szCs w:val="22"/>
        </w:rPr>
        <w:t>to the entire U.S. (</w:t>
      </w:r>
      <w:r w:rsidRPr="005A2085">
        <w:rPr>
          <w:sz w:val="22"/>
          <w:szCs w:val="22"/>
          <w:u w:val="single"/>
        </w:rPr>
        <w:t>u</w:t>
      </w:r>
      <w:r>
        <w:rPr>
          <w:sz w:val="22"/>
          <w:szCs w:val="22"/>
        </w:rPr>
        <w:t xml:space="preserve">) </w:t>
      </w:r>
      <w:r w:rsidRPr="005B294B">
        <w:rPr>
          <w:sz w:val="22"/>
          <w:szCs w:val="22"/>
        </w:rPr>
        <w:t xml:space="preserve">in industry </w:t>
      </w:r>
      <w:r w:rsidRPr="005B294B">
        <w:rPr>
          <w:i/>
          <w:sz w:val="22"/>
          <w:szCs w:val="22"/>
        </w:rPr>
        <w:t>j</w:t>
      </w:r>
      <w:r w:rsidRPr="005B294B">
        <w:rPr>
          <w:sz w:val="22"/>
          <w:szCs w:val="22"/>
        </w:rPr>
        <w:t xml:space="preserve"> </w:t>
      </w:r>
      <w:r>
        <w:rPr>
          <w:sz w:val="22"/>
          <w:szCs w:val="22"/>
        </w:rPr>
        <w:t xml:space="preserve">between year </w:t>
      </w:r>
      <w:r w:rsidRPr="005A2085">
        <w:rPr>
          <w:i/>
          <w:sz w:val="22"/>
          <w:szCs w:val="22"/>
        </w:rPr>
        <w:t>t</w:t>
      </w:r>
      <w:r>
        <w:rPr>
          <w:sz w:val="22"/>
          <w:szCs w:val="22"/>
        </w:rPr>
        <w:t xml:space="preserve"> and ten years later (or the equivalent of ten years later) and </w:t>
      </w:r>
      <m:oMath>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ujt</m:t>
            </m:r>
          </m:sub>
        </m:sSub>
      </m:oMath>
      <w:r w:rsidRPr="005B294B">
        <w:rPr>
          <w:sz w:val="22"/>
          <w:szCs w:val="22"/>
        </w:rPr>
        <w:t xml:space="preserve"> is the start of period </w:t>
      </w:r>
      <w:r w:rsidRPr="005A2085">
        <w:rPr>
          <w:i/>
          <w:sz w:val="22"/>
          <w:szCs w:val="22"/>
        </w:rPr>
        <w:t>t</w:t>
      </w:r>
      <w:r>
        <w:rPr>
          <w:sz w:val="22"/>
          <w:szCs w:val="22"/>
        </w:rPr>
        <w:t xml:space="preserve"> </w:t>
      </w:r>
      <w:r w:rsidRPr="005B294B">
        <w:rPr>
          <w:sz w:val="22"/>
          <w:szCs w:val="22"/>
        </w:rPr>
        <w:t xml:space="preserve">employment in industry </w:t>
      </w:r>
      <w:r w:rsidRPr="005B294B">
        <w:rPr>
          <w:i/>
          <w:sz w:val="22"/>
          <w:szCs w:val="22"/>
        </w:rPr>
        <w:t>j</w:t>
      </w:r>
      <w:r w:rsidRPr="005B294B">
        <w:rPr>
          <w:sz w:val="22"/>
          <w:szCs w:val="22"/>
        </w:rPr>
        <w:t xml:space="preserve"> in the </w:t>
      </w:r>
      <w:r>
        <w:rPr>
          <w:sz w:val="22"/>
          <w:szCs w:val="22"/>
        </w:rPr>
        <w:t xml:space="preserve">entire </w:t>
      </w:r>
      <w:r w:rsidRPr="005B294B">
        <w:rPr>
          <w:sz w:val="22"/>
          <w:szCs w:val="22"/>
        </w:rPr>
        <w:t>U</w:t>
      </w:r>
      <w:r>
        <w:rPr>
          <w:sz w:val="22"/>
          <w:szCs w:val="22"/>
        </w:rPr>
        <w:t xml:space="preserve">S. Thus, </w:t>
      </w:r>
      <w:r w:rsidRPr="005B294B">
        <w:rPr>
          <w:sz w:val="22"/>
          <w:szCs w:val="22"/>
        </w:rPr>
        <w:t xml:space="preserve">the second </w:t>
      </w:r>
      <w:r>
        <w:rPr>
          <w:sz w:val="22"/>
          <w:szCs w:val="22"/>
        </w:rPr>
        <w:t>ratio</w:t>
      </w:r>
      <w:r w:rsidRPr="005B294B">
        <w:rPr>
          <w:sz w:val="22"/>
          <w:szCs w:val="22"/>
        </w:rPr>
        <w:t xml:space="preserve"> </w:t>
      </w:r>
      <w:r>
        <w:rPr>
          <w:sz w:val="22"/>
          <w:szCs w:val="22"/>
        </w:rPr>
        <w:t>represents</w:t>
      </w:r>
      <w:r w:rsidRPr="005B294B">
        <w:rPr>
          <w:sz w:val="22"/>
          <w:szCs w:val="22"/>
        </w:rPr>
        <w:t xml:space="preserve"> the average import exposure change per worker in</w:t>
      </w:r>
      <w:r>
        <w:rPr>
          <w:sz w:val="22"/>
          <w:szCs w:val="22"/>
        </w:rPr>
        <w:t xml:space="preserve"> </w:t>
      </w:r>
      <w:r>
        <w:rPr>
          <w:rFonts w:hint="eastAsia"/>
          <w:sz w:val="22"/>
          <w:szCs w:val="22"/>
        </w:rPr>
        <w:t>each</w:t>
      </w:r>
      <w:r>
        <w:rPr>
          <w:sz w:val="22"/>
          <w:szCs w:val="22"/>
        </w:rPr>
        <w:t xml:space="preserve"> industry in</w:t>
      </w:r>
      <w:r w:rsidRPr="005B294B">
        <w:rPr>
          <w:sz w:val="22"/>
          <w:szCs w:val="22"/>
        </w:rPr>
        <w:t xml:space="preserve"> the US.</w:t>
      </w:r>
      <w:r>
        <w:rPr>
          <w:sz w:val="22"/>
          <w:szCs w:val="22"/>
        </w:rPr>
        <w:t xml:space="preserve"> In this way, t</w:t>
      </w:r>
      <w:r w:rsidRPr="005B294B">
        <w:rPr>
          <w:sz w:val="22"/>
          <w:szCs w:val="22"/>
        </w:rPr>
        <w:t>he</w:t>
      </w:r>
      <w:r>
        <w:rPr>
          <w:sz w:val="22"/>
          <w:szCs w:val="22"/>
        </w:rPr>
        <w:t xml:space="preserve"> variation</w:t>
      </w:r>
      <w:r w:rsidRPr="005B294B">
        <w:rPr>
          <w:sz w:val="22"/>
          <w:szCs w:val="22"/>
        </w:rPr>
        <w:t xml:space="preserve"> </w:t>
      </w:r>
      <w:r>
        <w:rPr>
          <w:sz w:val="22"/>
          <w:szCs w:val="22"/>
        </w:rPr>
        <w:t xml:space="preserve">in Chinese import </w:t>
      </w:r>
      <w:r w:rsidRPr="005B294B">
        <w:rPr>
          <w:sz w:val="22"/>
          <w:szCs w:val="22"/>
        </w:rPr>
        <w:t>exposure</w:t>
      </w:r>
      <w:r>
        <w:rPr>
          <w:sz w:val="22"/>
          <w:szCs w:val="22"/>
        </w:rPr>
        <w:t xml:space="preserve"> across</w:t>
      </w:r>
      <w:r w:rsidRPr="005B294B">
        <w:rPr>
          <w:sz w:val="22"/>
          <w:szCs w:val="22"/>
        </w:rPr>
        <w:t xml:space="preserve"> CZs in </w:t>
      </w:r>
      <w:r>
        <w:rPr>
          <w:sz w:val="22"/>
          <w:szCs w:val="22"/>
        </w:rPr>
        <w:t>the same period comes</w:t>
      </w:r>
      <w:r w:rsidRPr="005B294B">
        <w:rPr>
          <w:sz w:val="22"/>
          <w:szCs w:val="22"/>
        </w:rPr>
        <w:t xml:space="preserve"> from variation in start</w:t>
      </w:r>
      <w:r>
        <w:rPr>
          <w:sz w:val="22"/>
          <w:szCs w:val="22"/>
        </w:rPr>
        <w:t>-</w:t>
      </w:r>
      <w:r w:rsidRPr="005B294B">
        <w:rPr>
          <w:sz w:val="22"/>
          <w:szCs w:val="22"/>
        </w:rPr>
        <w:t>of</w:t>
      </w:r>
      <w:r>
        <w:rPr>
          <w:sz w:val="22"/>
          <w:szCs w:val="22"/>
        </w:rPr>
        <w:t>-</w:t>
      </w:r>
      <w:r w:rsidRPr="005B294B">
        <w:rPr>
          <w:sz w:val="22"/>
          <w:szCs w:val="22"/>
        </w:rPr>
        <w:t xml:space="preserve">period industrial structure. </w:t>
      </w:r>
    </w:p>
    <w:p w14:paraId="77F02C03" w14:textId="745BFD5D" w:rsidR="000063ED" w:rsidRDefault="00B44B52" w:rsidP="0063524A">
      <w:pPr>
        <w:spacing w:after="100" w:line="340" w:lineRule="atLeast"/>
        <w:jc w:val="both"/>
        <w:rPr>
          <w:sz w:val="22"/>
          <w:szCs w:val="22"/>
        </w:rPr>
      </w:pPr>
      <w:r>
        <w:rPr>
          <w:sz w:val="22"/>
          <w:szCs w:val="22"/>
        </w:rPr>
        <w:t xml:space="preserve">            Just as in Autor et al. (2013), I use </w:t>
      </w:r>
      <w:r w:rsidRPr="005B294B">
        <w:rPr>
          <w:sz w:val="22"/>
          <w:szCs w:val="22"/>
        </w:rPr>
        <w:t>international trade data</w:t>
      </w:r>
      <w:r>
        <w:rPr>
          <w:sz w:val="22"/>
          <w:szCs w:val="22"/>
        </w:rPr>
        <w:t xml:space="preserve"> obtained from the UN Comrade Database to construct  </w:t>
      </w:r>
      <m:oMath>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ucjt</m:t>
            </m:r>
          </m:sub>
        </m:sSub>
      </m:oMath>
      <w:r>
        <w:rPr>
          <w:sz w:val="22"/>
          <w:szCs w:val="22"/>
        </w:rPr>
        <w:t>.</w:t>
      </w:r>
      <w:r w:rsidRPr="005B294B">
        <w:rPr>
          <w:sz w:val="22"/>
          <w:szCs w:val="22"/>
        </w:rPr>
        <w:t xml:space="preserve"> I take the value (in 2007 US</w:t>
      </w:r>
      <w:r>
        <w:rPr>
          <w:sz w:val="22"/>
          <w:szCs w:val="22"/>
        </w:rPr>
        <w:t xml:space="preserve"> dollars</w:t>
      </w:r>
      <w:r w:rsidRPr="005B294B">
        <w:rPr>
          <w:sz w:val="22"/>
          <w:szCs w:val="22"/>
        </w:rPr>
        <w:t>) of import</w:t>
      </w:r>
      <w:r>
        <w:rPr>
          <w:sz w:val="22"/>
          <w:szCs w:val="22"/>
        </w:rPr>
        <w:t>s</w:t>
      </w:r>
      <w:r w:rsidRPr="005B294B">
        <w:rPr>
          <w:sz w:val="22"/>
          <w:szCs w:val="22"/>
        </w:rPr>
        <w:t xml:space="preserve"> from China to </w:t>
      </w:r>
      <w:r>
        <w:rPr>
          <w:sz w:val="22"/>
          <w:szCs w:val="22"/>
        </w:rPr>
        <w:t xml:space="preserve">the </w:t>
      </w:r>
      <w:r w:rsidRPr="005B294B">
        <w:rPr>
          <w:sz w:val="22"/>
          <w:szCs w:val="22"/>
        </w:rPr>
        <w:t>US in 1991, 2000 and 2007.</w:t>
      </w:r>
      <w:r w:rsidRPr="005B294B">
        <w:rPr>
          <w:sz w:val="22"/>
          <w:szCs w:val="22"/>
          <w:vertAlign w:val="superscript"/>
        </w:rPr>
        <w:footnoteReference w:id="9"/>
      </w:r>
      <w:r w:rsidRPr="005B294B">
        <w:rPr>
          <w:sz w:val="22"/>
          <w:szCs w:val="22"/>
        </w:rPr>
        <w:t xml:space="preserve"> All values and prices are inflated using the personal consumption expenditure deflator </w:t>
      </w:r>
      <w:r>
        <w:rPr>
          <w:sz w:val="22"/>
          <w:szCs w:val="22"/>
        </w:rPr>
        <w:t>which is provided by</w:t>
      </w:r>
      <w:r w:rsidRPr="005B294B">
        <w:rPr>
          <w:sz w:val="22"/>
          <w:szCs w:val="22"/>
        </w:rPr>
        <w:t xml:space="preserve"> </w:t>
      </w:r>
      <w:r>
        <w:rPr>
          <w:sz w:val="22"/>
          <w:szCs w:val="22"/>
        </w:rPr>
        <w:t xml:space="preserve">the </w:t>
      </w:r>
      <w:r w:rsidRPr="005B294B">
        <w:rPr>
          <w:sz w:val="22"/>
          <w:szCs w:val="22"/>
        </w:rPr>
        <w:t>U</w:t>
      </w:r>
      <w:r>
        <w:rPr>
          <w:sz w:val="22"/>
          <w:szCs w:val="22"/>
        </w:rPr>
        <w:t>.</w:t>
      </w:r>
      <w:r w:rsidRPr="005B294B">
        <w:rPr>
          <w:sz w:val="22"/>
          <w:szCs w:val="22"/>
        </w:rPr>
        <w:t>S</w:t>
      </w:r>
      <w:r>
        <w:rPr>
          <w:sz w:val="22"/>
          <w:szCs w:val="22"/>
        </w:rPr>
        <w:t>.</w:t>
      </w:r>
      <w:r w:rsidRPr="005B294B">
        <w:rPr>
          <w:sz w:val="22"/>
          <w:szCs w:val="22"/>
        </w:rPr>
        <w:t xml:space="preserve"> Bureau of Economic Analysis. The employment in each industry in each CZ is </w:t>
      </w:r>
      <w:r>
        <w:rPr>
          <w:sz w:val="22"/>
          <w:szCs w:val="22"/>
        </w:rPr>
        <w:lastRenderedPageBreak/>
        <w:t>constructed using</w:t>
      </w:r>
      <w:r w:rsidRPr="005B294B">
        <w:rPr>
          <w:sz w:val="22"/>
          <w:szCs w:val="22"/>
        </w:rPr>
        <w:t xml:space="preserve"> County Business Patterns data.</w:t>
      </w:r>
      <w:r w:rsidRPr="005B294B">
        <w:rPr>
          <w:rStyle w:val="FootnoteReference"/>
          <w:sz w:val="22"/>
          <w:szCs w:val="22"/>
        </w:rPr>
        <w:footnoteReference w:id="10"/>
      </w:r>
      <w:r w:rsidR="00A11EA5">
        <w:rPr>
          <w:sz w:val="22"/>
          <w:szCs w:val="22"/>
        </w:rPr>
        <w:t xml:space="preserve"> </w:t>
      </w:r>
      <w:r>
        <w:rPr>
          <w:sz w:val="22"/>
          <w:szCs w:val="22"/>
        </w:rPr>
        <w:t xml:space="preserve">The measure that I created from these original sources is almost a perfect match to Autor et al.’s (2013) import exposure measure made available on the </w:t>
      </w:r>
      <w:r w:rsidRPr="00A860EC">
        <w:rPr>
          <w:i/>
          <w:sz w:val="22"/>
          <w:szCs w:val="22"/>
        </w:rPr>
        <w:t>American Economic Review</w:t>
      </w:r>
      <w:r>
        <w:rPr>
          <w:sz w:val="22"/>
          <w:szCs w:val="22"/>
        </w:rPr>
        <w:t xml:space="preserve"> webpage.</w:t>
      </w:r>
      <w:r w:rsidR="000063ED">
        <w:rPr>
          <w:rStyle w:val="FootnoteReference"/>
          <w:sz w:val="22"/>
          <w:szCs w:val="22"/>
        </w:rPr>
        <w:footnoteReference w:id="11"/>
      </w:r>
      <w:r>
        <w:rPr>
          <w:sz w:val="22"/>
          <w:szCs w:val="22"/>
        </w:rPr>
        <w:t xml:space="preserve"> </w:t>
      </w:r>
      <w:r w:rsidR="000063ED" w:rsidRPr="0063524A">
        <w:rPr>
          <w:sz w:val="22"/>
          <w:szCs w:val="22"/>
        </w:rPr>
        <w:t xml:space="preserve">Commuting zone level demographic characteristics including population, race and gender share are obtained constructed from the Integrated Public Use Micro Samples (IPUMS) database. I use 1990, 2000 census and 2006-2008 combined three-year American Community Survey (ACS) data. Because of confidentiality reasons, the smallest geographic unit in IPUMS is Public Use Micro Areas (PUMAs) since 1990. Here, I use the crosswalk files provided on David Dorn’s website.  </w:t>
      </w:r>
    </w:p>
    <w:p w14:paraId="043A9C53" w14:textId="2150D3BB" w:rsidR="00B44B52" w:rsidRPr="00A860EC" w:rsidRDefault="00B44B52" w:rsidP="00B44B52">
      <w:pPr>
        <w:spacing w:line="360" w:lineRule="auto"/>
        <w:jc w:val="both"/>
        <w:rPr>
          <w:sz w:val="22"/>
          <w:szCs w:val="22"/>
        </w:rPr>
      </w:pPr>
      <w:r>
        <w:rPr>
          <w:sz w:val="22"/>
          <w:szCs w:val="22"/>
        </w:rPr>
        <w:t xml:space="preserve">            For the school expenditure and revenue data, I use </w:t>
      </w:r>
      <w:r w:rsidRPr="005B294B">
        <w:rPr>
          <w:sz w:val="22"/>
          <w:szCs w:val="22"/>
        </w:rPr>
        <w:t>Local Education Agency Finance</w:t>
      </w:r>
      <w:r>
        <w:rPr>
          <w:sz w:val="22"/>
          <w:szCs w:val="22"/>
        </w:rPr>
        <w:t xml:space="preserve"> </w:t>
      </w:r>
      <w:r w:rsidRPr="005B294B">
        <w:rPr>
          <w:sz w:val="22"/>
          <w:szCs w:val="22"/>
        </w:rPr>
        <w:t>(F-33) Survey Data</w:t>
      </w:r>
      <w:r>
        <w:rPr>
          <w:sz w:val="22"/>
          <w:szCs w:val="22"/>
        </w:rPr>
        <w:t>. It contains</w:t>
      </w:r>
      <w:r w:rsidRPr="005B294B">
        <w:rPr>
          <w:sz w:val="22"/>
          <w:szCs w:val="22"/>
        </w:rPr>
        <w:t xml:space="preserve"> detailed </w:t>
      </w:r>
      <w:r>
        <w:rPr>
          <w:sz w:val="22"/>
          <w:szCs w:val="22"/>
        </w:rPr>
        <w:t xml:space="preserve">data on </w:t>
      </w:r>
      <w:r w:rsidRPr="005B294B">
        <w:rPr>
          <w:sz w:val="22"/>
          <w:szCs w:val="22"/>
        </w:rPr>
        <w:t xml:space="preserve">enrollment, expenditures and revenues for all school districts </w:t>
      </w:r>
      <w:r>
        <w:rPr>
          <w:sz w:val="22"/>
          <w:szCs w:val="22"/>
        </w:rPr>
        <w:t xml:space="preserve">in the U.S. </w:t>
      </w:r>
      <w:r w:rsidRPr="005B294B">
        <w:rPr>
          <w:sz w:val="22"/>
          <w:szCs w:val="22"/>
        </w:rPr>
        <w:t>providing public education to pre-kindergarten to 12</w:t>
      </w:r>
      <w:r w:rsidRPr="005B294B">
        <w:rPr>
          <w:sz w:val="22"/>
          <w:szCs w:val="22"/>
          <w:vertAlign w:val="superscript"/>
        </w:rPr>
        <w:t>th</w:t>
      </w:r>
      <w:r w:rsidRPr="005B294B">
        <w:rPr>
          <w:sz w:val="22"/>
          <w:szCs w:val="22"/>
        </w:rPr>
        <w:t xml:space="preserve"> grade students</w:t>
      </w:r>
      <w:r>
        <w:rPr>
          <w:sz w:val="22"/>
          <w:szCs w:val="22"/>
        </w:rPr>
        <w:t xml:space="preserve">. The data </w:t>
      </w:r>
      <w:r w:rsidRPr="005B294B">
        <w:rPr>
          <w:sz w:val="22"/>
          <w:szCs w:val="22"/>
        </w:rPr>
        <w:t xml:space="preserve">are reported annually starting </w:t>
      </w:r>
      <w:r>
        <w:rPr>
          <w:sz w:val="22"/>
          <w:szCs w:val="22"/>
        </w:rPr>
        <w:t>in</w:t>
      </w:r>
      <w:r w:rsidRPr="005B294B">
        <w:rPr>
          <w:sz w:val="22"/>
          <w:szCs w:val="22"/>
        </w:rPr>
        <w:t xml:space="preserve"> fiscal year 1990. </w:t>
      </w:r>
      <w:r>
        <w:rPr>
          <w:sz w:val="22"/>
          <w:szCs w:val="22"/>
        </w:rPr>
        <w:t>F-33 does not provide data for private schools, but public schools in the US account for around 90%</w:t>
      </w:r>
      <w:r>
        <w:rPr>
          <w:rStyle w:val="FootnoteReference"/>
          <w:sz w:val="22"/>
          <w:szCs w:val="22"/>
        </w:rPr>
        <w:footnoteReference w:id="12"/>
      </w:r>
      <w:r>
        <w:rPr>
          <w:sz w:val="22"/>
          <w:szCs w:val="22"/>
        </w:rPr>
        <w:t xml:space="preserve"> of total elementary and secondary enrollment. </w:t>
      </w:r>
      <w:r w:rsidRPr="00A860EC">
        <w:rPr>
          <w:sz w:val="22"/>
          <w:szCs w:val="22"/>
        </w:rPr>
        <w:t>I use the FIPS county code provided in F-33 to crosswalk school districts to 1990 CZs which I then merge to the commuting zone-level variables on import exposure.</w:t>
      </w:r>
      <w:r w:rsidRPr="00A860EC">
        <w:rPr>
          <w:sz w:val="22"/>
          <w:szCs w:val="22"/>
          <w:vertAlign w:val="superscript"/>
        </w:rPr>
        <w:footnoteReference w:id="13"/>
      </w:r>
      <w:r w:rsidRPr="00A860EC">
        <w:rPr>
          <w:sz w:val="22"/>
          <w:szCs w:val="22"/>
        </w:rPr>
        <w:t xml:space="preserve"> </w:t>
      </w:r>
      <w:r w:rsidRPr="005B294B">
        <w:rPr>
          <w:sz w:val="22"/>
          <w:szCs w:val="22"/>
        </w:rPr>
        <w:t xml:space="preserve">I use </w:t>
      </w:r>
      <w:r>
        <w:rPr>
          <w:sz w:val="22"/>
          <w:szCs w:val="22"/>
        </w:rPr>
        <w:t>data from</w:t>
      </w:r>
      <w:r w:rsidRPr="005B294B">
        <w:rPr>
          <w:sz w:val="22"/>
          <w:szCs w:val="22"/>
        </w:rPr>
        <w:t xml:space="preserve"> 1989-1990</w:t>
      </w:r>
      <w:r>
        <w:rPr>
          <w:sz w:val="22"/>
          <w:szCs w:val="22"/>
        </w:rPr>
        <w:t xml:space="preserve"> </w:t>
      </w:r>
      <w:r w:rsidRPr="005B294B">
        <w:rPr>
          <w:sz w:val="22"/>
          <w:szCs w:val="22"/>
        </w:rPr>
        <w:t>(fiscal year 1990), 1999-2000</w:t>
      </w:r>
      <w:r>
        <w:rPr>
          <w:sz w:val="22"/>
          <w:szCs w:val="22"/>
        </w:rPr>
        <w:t xml:space="preserve"> </w:t>
      </w:r>
      <w:r w:rsidRPr="005B294B">
        <w:rPr>
          <w:sz w:val="22"/>
          <w:szCs w:val="22"/>
        </w:rPr>
        <w:t xml:space="preserve">(fiscal year 2000), and 2006-07 (fiscal year 2007) to construct the ten-year equivalent changes in per-pupil expenditure and revenue. </w:t>
      </w:r>
      <w:r w:rsidRPr="00A860EC">
        <w:rPr>
          <w:sz w:val="22"/>
          <w:szCs w:val="22"/>
        </w:rPr>
        <w:t>All of the expenditures and revenues are inflated to 2007 US$.</w:t>
      </w:r>
      <w:r>
        <w:rPr>
          <w:sz w:val="22"/>
          <w:szCs w:val="22"/>
        </w:rPr>
        <w:t xml:space="preserve"> Most of the empirical specifications used in the analysis are conducted at the CZ level. To construct CZ level averages, I calculate average expenditures over all school districts in each commuting zone using enrollment rates as weights. </w:t>
      </w:r>
    </w:p>
    <w:p w14:paraId="28E88DD4" w14:textId="77777777" w:rsidR="00B44B52" w:rsidRPr="005B294B" w:rsidRDefault="00B44B52" w:rsidP="00B44B52">
      <w:pPr>
        <w:pStyle w:val="NormalWeb"/>
        <w:spacing w:before="0" w:beforeAutospacing="0" w:after="0" w:afterAutospacing="0" w:line="360" w:lineRule="auto"/>
        <w:jc w:val="both"/>
        <w:rPr>
          <w:sz w:val="22"/>
          <w:szCs w:val="22"/>
        </w:rPr>
      </w:pPr>
      <w:r>
        <w:rPr>
          <w:sz w:val="22"/>
          <w:szCs w:val="22"/>
        </w:rPr>
        <w:t xml:space="preserve">            To get a sense for whether school districts in commuting zones hit hardest by Chinese import shocks have very different characteristics, for each year, I split the commuting zones in my sample into two groups based on the import exposure per worker levels. Table 2 provides descriptive statistics of the main variables in the analysis based on this split. As can be seen in Table 2, in CZs with high import exposure, the average share of workers in the manufacturing sector is more than 45% higher than the share in those with low import exposure. There are no clear differences in my main dependent variables: average per-pupil expenditure as well as the per-pupil revenue from different sources. Similarly, no clear differences can be found in the differences in demographic characteristics such as share female, share foreign born, share of different races, share of elderly (age above 65) and youth (age between 5 and 18). However, in CZs with low import exposure, total enrollments tend to be lower by around 20,000 students, the median family </w:t>
      </w:r>
      <w:r>
        <w:rPr>
          <w:sz w:val="22"/>
          <w:szCs w:val="22"/>
        </w:rPr>
        <w:lastRenderedPageBreak/>
        <w:t>income is more than $1,000 lower, the share of residents who have at least some college experience is around 1 percentage point higher, and the share of people with income below the 1980 poverty line is also around 1 percentage point higher.</w:t>
      </w:r>
    </w:p>
    <w:p w14:paraId="7C95B89B" w14:textId="77777777" w:rsidR="00B44B52" w:rsidRPr="005B294B" w:rsidRDefault="00B44B52" w:rsidP="00B44B52">
      <w:pPr>
        <w:pStyle w:val="NormalWeb"/>
        <w:spacing w:before="0" w:beforeAutospacing="0" w:after="0" w:afterAutospacing="0" w:line="360" w:lineRule="auto"/>
        <w:ind w:firstLine="220"/>
        <w:jc w:val="both"/>
        <w:rPr>
          <w:sz w:val="22"/>
          <w:szCs w:val="22"/>
        </w:rPr>
      </w:pPr>
    </w:p>
    <w:p w14:paraId="16D8142A" w14:textId="77777777" w:rsidR="00B44B52" w:rsidRPr="002E05E9" w:rsidRDefault="00B44B52" w:rsidP="00B44B52">
      <w:pPr>
        <w:spacing w:line="200" w:lineRule="atLeast"/>
        <w:jc w:val="both"/>
        <w:rPr>
          <w:b/>
        </w:rPr>
      </w:pPr>
      <w:r w:rsidRPr="002E05E9">
        <w:rPr>
          <w:b/>
        </w:rPr>
        <w:t xml:space="preserve">4. Empirical </w:t>
      </w:r>
      <w:r w:rsidRPr="002E05E9">
        <w:rPr>
          <w:rFonts w:hint="eastAsia"/>
          <w:b/>
        </w:rPr>
        <w:t>Specification</w:t>
      </w:r>
      <w:r w:rsidRPr="002E05E9">
        <w:rPr>
          <w:b/>
        </w:rPr>
        <w:tab/>
      </w:r>
    </w:p>
    <w:p w14:paraId="7A8A3A7D" w14:textId="77777777" w:rsidR="00B44B52" w:rsidRPr="005B294B" w:rsidRDefault="00B44B52" w:rsidP="00B44B52">
      <w:pPr>
        <w:spacing w:line="200" w:lineRule="atLeast"/>
        <w:jc w:val="both"/>
      </w:pPr>
    </w:p>
    <w:p w14:paraId="23F2C632" w14:textId="77777777" w:rsidR="00B44B52" w:rsidRPr="005B294B" w:rsidRDefault="00B44B52" w:rsidP="00B44B52">
      <w:pPr>
        <w:spacing w:after="100" w:line="340" w:lineRule="atLeast"/>
        <w:jc w:val="both"/>
        <w:rPr>
          <w:sz w:val="22"/>
          <w:szCs w:val="22"/>
        </w:rPr>
      </w:pPr>
      <w:r w:rsidRPr="005B294B">
        <w:rPr>
          <w:sz w:val="22"/>
          <w:szCs w:val="22"/>
        </w:rPr>
        <w:t xml:space="preserve">To examine the effect of changes in import exposure on public school expenditures, I </w:t>
      </w:r>
      <w:r>
        <w:rPr>
          <w:sz w:val="22"/>
          <w:szCs w:val="22"/>
        </w:rPr>
        <w:t>take</w:t>
      </w:r>
      <w:r w:rsidRPr="005B294B">
        <w:rPr>
          <w:sz w:val="22"/>
          <w:szCs w:val="22"/>
        </w:rPr>
        <w:t xml:space="preserve"> </w:t>
      </w:r>
      <w:r>
        <w:rPr>
          <w:sz w:val="22"/>
          <w:szCs w:val="22"/>
        </w:rPr>
        <w:t>a first difference approach</w:t>
      </w:r>
      <w:r w:rsidRPr="005B294B">
        <w:rPr>
          <w:sz w:val="22"/>
          <w:szCs w:val="22"/>
        </w:rPr>
        <w:t xml:space="preserve">: </w:t>
      </w:r>
    </w:p>
    <w:p w14:paraId="33AA3E83" w14:textId="77777777" w:rsidR="00B44B52" w:rsidRPr="005B294B" w:rsidRDefault="00157748" w:rsidP="00B44B52">
      <w:pPr>
        <w:spacing w:after="100" w:line="340" w:lineRule="atLeast"/>
        <w:jc w:val="center"/>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∆Edu</m:t>
            </m:r>
          </m:e>
          <m:sub>
            <m:r>
              <m:rPr>
                <m:sty m:val="p"/>
              </m:rPr>
              <w:rPr>
                <w:rFonts w:ascii="Cambria Math" w:hAnsi="Cambria Math"/>
                <w:sz w:val="22"/>
                <w:szCs w:val="22"/>
              </w:rPr>
              <m:t>i,t</m:t>
            </m:r>
          </m:sub>
          <m:sup/>
        </m:sSubSup>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1</m:t>
            </m:r>
          </m:sub>
        </m:sSub>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it</m:t>
            </m:r>
          </m:sub>
          <m:sup>
            <m:r>
              <w:rPr>
                <w:rFonts w:ascii="Cambria Math" w:hAnsi="Cambria Math"/>
                <w:sz w:val="22"/>
                <w:szCs w:val="22"/>
              </w:rPr>
              <m:t>u</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m:rPr>
                <m:sty m:val="p"/>
              </m:rPr>
              <w:rPr>
                <w:rFonts w:ascii="Cambria Math" w:hAnsi="Cambria Math"/>
                <w:sz w:val="22"/>
                <w:szCs w:val="22"/>
              </w:rPr>
              <m:t>X</m:t>
            </m:r>
          </m:e>
          <m:sub>
            <m:r>
              <m:rPr>
                <m:sty m:val="p"/>
              </m:rPr>
              <w:rPr>
                <w:rFonts w:ascii="Cambria Math" w:hAnsi="Cambria Math"/>
                <w:sz w:val="22"/>
                <w:szCs w:val="22"/>
              </w:rPr>
              <m:t>it</m:t>
            </m:r>
          </m:sub>
          <m:sup>
            <m:r>
              <m:rPr>
                <m:sty m:val="p"/>
              </m:rPr>
              <w:rPr>
                <w:rFonts w:ascii="Cambria Math" w:hAnsi="Cambria Math"/>
                <w:sz w:val="22"/>
                <w:szCs w:val="22"/>
              </w:rPr>
              <m:t>'</m:t>
            </m:r>
          </m:sup>
        </m:sSubSup>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γ</m:t>
            </m:r>
          </m:e>
          <m:sub>
            <m:r>
              <m:rPr>
                <m:sty m:val="p"/>
              </m:rPr>
              <w:rPr>
                <w:rFonts w:ascii="Cambria Math" w:hAnsi="Cambria Math"/>
                <w:sz w:val="22"/>
                <w:szCs w:val="22"/>
              </w:rPr>
              <m:t>t</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i,t</m:t>
            </m:r>
          </m:sub>
        </m:sSub>
      </m:oMath>
      <w:r w:rsidR="00B44B52" w:rsidRPr="005B294B">
        <w:rPr>
          <w:sz w:val="22"/>
          <w:szCs w:val="22"/>
        </w:rPr>
        <w:t xml:space="preserve">                (1)</w:t>
      </w:r>
    </w:p>
    <w:p w14:paraId="252CF2F8" w14:textId="77777777" w:rsidR="00B44B52" w:rsidRPr="005B294B" w:rsidRDefault="00B44B52" w:rsidP="00B44B52">
      <w:pPr>
        <w:spacing w:after="100" w:line="340" w:lineRule="atLeast"/>
        <w:jc w:val="both"/>
        <w:rPr>
          <w:sz w:val="22"/>
          <w:szCs w:val="22"/>
        </w:rPr>
      </w:pPr>
      <w:r w:rsidRPr="005B294B">
        <w:rPr>
          <w:sz w:val="22"/>
          <w:szCs w:val="22"/>
        </w:rPr>
        <w:t xml:space="preserve">where </w:t>
      </w:r>
      <w:proofErr w:type="spellStart"/>
      <w:r w:rsidRPr="005B294B">
        <w:rPr>
          <w:i/>
          <w:sz w:val="22"/>
          <w:szCs w:val="22"/>
        </w:rPr>
        <w:t>i</w:t>
      </w:r>
      <w:proofErr w:type="spellEnd"/>
      <w:r w:rsidRPr="005B294B">
        <w:rPr>
          <w:sz w:val="22"/>
          <w:szCs w:val="22"/>
        </w:rPr>
        <w:t xml:space="preserve"> denotes commuting zon</w:t>
      </w:r>
      <w:r>
        <w:rPr>
          <w:sz w:val="22"/>
          <w:szCs w:val="22"/>
        </w:rPr>
        <w:t>e and</w:t>
      </w:r>
      <w:r w:rsidRPr="005B294B">
        <w:rPr>
          <w:sz w:val="22"/>
          <w:szCs w:val="22"/>
        </w:rPr>
        <w:t xml:space="preserve"> </w:t>
      </w:r>
      <w:r w:rsidRPr="005B294B">
        <w:rPr>
          <w:i/>
          <w:sz w:val="22"/>
          <w:szCs w:val="22"/>
        </w:rPr>
        <w:t>t</w:t>
      </w:r>
      <w:r w:rsidRPr="005B294B">
        <w:rPr>
          <w:sz w:val="22"/>
          <w:szCs w:val="22"/>
        </w:rPr>
        <w:t xml:space="preserve"> denotes year. The dependent variable </w:t>
      </w:r>
      <m:oMath>
        <m:sSubSup>
          <m:sSubSupPr>
            <m:ctrlPr>
              <w:rPr>
                <w:rFonts w:ascii="Cambria Math" w:hAnsi="Cambria Math"/>
                <w:sz w:val="22"/>
                <w:szCs w:val="22"/>
              </w:rPr>
            </m:ctrlPr>
          </m:sSubSupPr>
          <m:e>
            <m:r>
              <m:rPr>
                <m:sty m:val="p"/>
              </m:rPr>
              <w:rPr>
                <w:rFonts w:ascii="Cambria Math" w:hAnsi="Cambria Math"/>
                <w:sz w:val="22"/>
                <w:szCs w:val="22"/>
              </w:rPr>
              <m:t>∆Edu</m:t>
            </m:r>
          </m:e>
          <m:sub>
            <m:r>
              <m:rPr>
                <m:sty m:val="p"/>
              </m:rPr>
              <w:rPr>
                <w:rFonts w:ascii="Cambria Math" w:hAnsi="Cambria Math"/>
                <w:sz w:val="22"/>
                <w:szCs w:val="22"/>
              </w:rPr>
              <m:t>i,t</m:t>
            </m:r>
          </m:sub>
          <m:sup/>
        </m:sSubSup>
      </m:oMath>
      <w:r w:rsidRPr="005B294B">
        <w:rPr>
          <w:sz w:val="22"/>
          <w:szCs w:val="22"/>
        </w:rPr>
        <w:t xml:space="preserve"> </w:t>
      </w:r>
      <w:r>
        <w:rPr>
          <w:sz w:val="22"/>
          <w:szCs w:val="22"/>
        </w:rPr>
        <w:t>is</w:t>
      </w:r>
      <w:r w:rsidRPr="005B294B">
        <w:rPr>
          <w:sz w:val="22"/>
          <w:szCs w:val="22"/>
        </w:rPr>
        <w:t xml:space="preserve"> the</w:t>
      </w:r>
      <w:r>
        <w:rPr>
          <w:sz w:val="22"/>
          <w:szCs w:val="22"/>
        </w:rPr>
        <w:t xml:space="preserve"> decadal </w:t>
      </w:r>
      <w:r>
        <w:rPr>
          <w:rFonts w:hint="eastAsia"/>
          <w:sz w:val="22"/>
          <w:szCs w:val="22"/>
        </w:rPr>
        <w:t>change</w:t>
      </w:r>
      <w:r>
        <w:rPr>
          <w:sz w:val="22"/>
          <w:szCs w:val="22"/>
        </w:rPr>
        <w:t xml:space="preserve"> in</w:t>
      </w:r>
      <w:r w:rsidRPr="005B294B">
        <w:rPr>
          <w:sz w:val="22"/>
          <w:szCs w:val="22"/>
        </w:rPr>
        <w:t xml:space="preserve"> per-pupil expenditure </w:t>
      </w:r>
      <w:r>
        <w:rPr>
          <w:sz w:val="22"/>
          <w:szCs w:val="22"/>
        </w:rPr>
        <w:t xml:space="preserve">on public schools </w:t>
      </w:r>
      <w:r w:rsidRPr="005B294B">
        <w:rPr>
          <w:sz w:val="22"/>
          <w:szCs w:val="22"/>
        </w:rPr>
        <w:t>in</w:t>
      </w:r>
      <w:r>
        <w:rPr>
          <w:sz w:val="22"/>
          <w:szCs w:val="22"/>
        </w:rPr>
        <w:t xml:space="preserve"> </w:t>
      </w:r>
      <w:r w:rsidRPr="005B294B">
        <w:rPr>
          <w:sz w:val="22"/>
          <w:szCs w:val="22"/>
        </w:rPr>
        <w:t>commuting zon</w:t>
      </w:r>
      <w:r>
        <w:rPr>
          <w:sz w:val="22"/>
          <w:szCs w:val="22"/>
        </w:rPr>
        <w:t xml:space="preserve">e </w:t>
      </w:r>
      <w:proofErr w:type="spellStart"/>
      <w:r w:rsidRPr="00CA67EC">
        <w:rPr>
          <w:i/>
          <w:sz w:val="22"/>
          <w:szCs w:val="22"/>
        </w:rPr>
        <w:t>i</w:t>
      </w:r>
      <w:proofErr w:type="spellEnd"/>
      <w:r>
        <w:rPr>
          <w:sz w:val="22"/>
          <w:szCs w:val="22"/>
        </w:rPr>
        <w:t xml:space="preserve"> starting from</w:t>
      </w:r>
      <w:r w:rsidRPr="005B294B">
        <w:rPr>
          <w:sz w:val="22"/>
          <w:szCs w:val="22"/>
        </w:rPr>
        <w:t xml:space="preserve"> year </w:t>
      </w:r>
      <w:r w:rsidRPr="00CA67EC">
        <w:rPr>
          <w:i/>
          <w:sz w:val="22"/>
          <w:szCs w:val="22"/>
        </w:rPr>
        <w:t>t</w:t>
      </w:r>
      <w:r>
        <w:rPr>
          <w:i/>
          <w:sz w:val="22"/>
          <w:szCs w:val="22"/>
        </w:rPr>
        <w:t xml:space="preserve">. </w:t>
      </w:r>
      <w:r>
        <w:rPr>
          <w:sz w:val="22"/>
          <w:szCs w:val="22"/>
        </w:rPr>
        <w:t>T</w:t>
      </w:r>
      <w:r w:rsidRPr="005B294B">
        <w:rPr>
          <w:sz w:val="22"/>
          <w:szCs w:val="22"/>
        </w:rPr>
        <w:t>he expenditure variables are</w:t>
      </w:r>
      <w:r>
        <w:rPr>
          <w:sz w:val="22"/>
          <w:szCs w:val="22"/>
        </w:rPr>
        <w:t xml:space="preserve"> all</w:t>
      </w:r>
      <w:r w:rsidRPr="005B294B">
        <w:rPr>
          <w:sz w:val="22"/>
          <w:szCs w:val="22"/>
        </w:rPr>
        <w:t xml:space="preserve"> measured in </w:t>
      </w:r>
      <w:r>
        <w:rPr>
          <w:sz w:val="22"/>
          <w:szCs w:val="22"/>
        </w:rPr>
        <w:t>thousands of</w:t>
      </w:r>
      <w:r w:rsidRPr="005B294B">
        <w:rPr>
          <w:sz w:val="22"/>
          <w:szCs w:val="22"/>
        </w:rPr>
        <w:t xml:space="preserve"> dollars. The independent variable of interest is </w:t>
      </w:r>
      <m:oMath>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it</m:t>
            </m:r>
          </m:sub>
          <m:sup>
            <m:r>
              <w:rPr>
                <w:rFonts w:ascii="Cambria Math" w:hAnsi="Cambria Math"/>
                <w:sz w:val="22"/>
                <w:szCs w:val="22"/>
              </w:rPr>
              <m:t>u</m:t>
            </m:r>
          </m:sup>
        </m:sSubSup>
      </m:oMath>
      <w:r w:rsidRPr="005B294B">
        <w:rPr>
          <w:sz w:val="22"/>
          <w:szCs w:val="22"/>
        </w:rPr>
        <w:t xml:space="preserve">, </w:t>
      </w:r>
      <w:r>
        <w:rPr>
          <w:sz w:val="22"/>
          <w:szCs w:val="22"/>
        </w:rPr>
        <w:t xml:space="preserve">the decadal change in </w:t>
      </w:r>
      <w:r w:rsidRPr="005B294B">
        <w:rPr>
          <w:sz w:val="22"/>
          <w:szCs w:val="22"/>
        </w:rPr>
        <w:t xml:space="preserve">Chinese import exposure as defined </w:t>
      </w:r>
      <w:r>
        <w:rPr>
          <w:sz w:val="22"/>
          <w:szCs w:val="22"/>
        </w:rPr>
        <w:t>in the previous section</w:t>
      </w:r>
      <w:r w:rsidRPr="005B294B">
        <w:rPr>
          <w:sz w:val="22"/>
          <w:szCs w:val="22"/>
        </w:rPr>
        <w:t xml:space="preserve">. </w:t>
      </w:r>
      <m:oMath>
        <m:sSubSup>
          <m:sSubSupPr>
            <m:ctrlPr>
              <w:rPr>
                <w:rFonts w:ascii="Cambria Math" w:hAnsi="Cambria Math"/>
                <w:sz w:val="22"/>
                <w:szCs w:val="22"/>
              </w:rPr>
            </m:ctrlPr>
          </m:sSubSupPr>
          <m:e>
            <m:r>
              <m:rPr>
                <m:sty m:val="p"/>
              </m:rPr>
              <w:rPr>
                <w:rFonts w:ascii="Cambria Math" w:hAnsi="Cambria Math"/>
                <w:sz w:val="22"/>
                <w:szCs w:val="22"/>
              </w:rPr>
              <m:t>X</m:t>
            </m:r>
          </m:e>
          <m:sub>
            <m:r>
              <m:rPr>
                <m:sty m:val="p"/>
              </m:rPr>
              <w:rPr>
                <w:rFonts w:ascii="Cambria Math" w:hAnsi="Cambria Math"/>
                <w:sz w:val="22"/>
                <w:szCs w:val="22"/>
              </w:rPr>
              <m:t>it</m:t>
            </m:r>
          </m:sub>
          <m:sup/>
        </m:sSubSup>
      </m:oMath>
      <w:r w:rsidRPr="005B294B">
        <w:rPr>
          <w:sz w:val="22"/>
          <w:szCs w:val="22"/>
        </w:rPr>
        <w:t xml:space="preserve"> includes </w:t>
      </w:r>
      <w:r>
        <w:rPr>
          <w:sz w:val="22"/>
          <w:szCs w:val="22"/>
        </w:rPr>
        <w:t xml:space="preserve">the following </w:t>
      </w:r>
      <w:r w:rsidRPr="005B294B">
        <w:rPr>
          <w:sz w:val="22"/>
          <w:szCs w:val="22"/>
        </w:rPr>
        <w:t xml:space="preserve">CZ level start of period characteristics: manufacturing share, share of </w:t>
      </w:r>
      <w:r>
        <w:rPr>
          <w:sz w:val="22"/>
          <w:szCs w:val="22"/>
        </w:rPr>
        <w:t xml:space="preserve">the </w:t>
      </w:r>
      <w:r w:rsidRPr="005B294B">
        <w:rPr>
          <w:sz w:val="22"/>
          <w:szCs w:val="22"/>
        </w:rPr>
        <w:t>population with</w:t>
      </w:r>
      <w:r>
        <w:rPr>
          <w:sz w:val="22"/>
          <w:szCs w:val="22"/>
        </w:rPr>
        <w:t xml:space="preserve"> any</w:t>
      </w:r>
      <w:r w:rsidRPr="005B294B">
        <w:rPr>
          <w:sz w:val="22"/>
          <w:szCs w:val="22"/>
        </w:rPr>
        <w:t xml:space="preserve"> college </w:t>
      </w:r>
      <w:r>
        <w:rPr>
          <w:sz w:val="22"/>
          <w:szCs w:val="22"/>
        </w:rPr>
        <w:t>experience,</w:t>
      </w:r>
      <w:r w:rsidRPr="005B294B">
        <w:rPr>
          <w:sz w:val="22"/>
          <w:szCs w:val="22"/>
        </w:rPr>
        <w:t xml:space="preserve"> foreign born share, female population share,</w:t>
      </w:r>
      <w:r w:rsidRPr="005B294B">
        <w:rPr>
          <w:rFonts w:hint="eastAsia"/>
          <w:sz w:val="22"/>
          <w:szCs w:val="22"/>
        </w:rPr>
        <w:t xml:space="preserve"> share of </w:t>
      </w:r>
      <w:r>
        <w:rPr>
          <w:sz w:val="22"/>
          <w:szCs w:val="22"/>
        </w:rPr>
        <w:t xml:space="preserve">the </w:t>
      </w:r>
      <w:r w:rsidRPr="005B294B">
        <w:rPr>
          <w:rFonts w:hint="eastAsia"/>
          <w:sz w:val="22"/>
          <w:szCs w:val="22"/>
        </w:rPr>
        <w:t xml:space="preserve">population </w:t>
      </w:r>
      <w:r>
        <w:rPr>
          <w:sz w:val="22"/>
          <w:szCs w:val="22"/>
        </w:rPr>
        <w:t>between the ages of</w:t>
      </w:r>
      <w:r w:rsidRPr="005B294B">
        <w:rPr>
          <w:rFonts w:hint="eastAsia"/>
          <w:sz w:val="22"/>
          <w:szCs w:val="22"/>
        </w:rPr>
        <w:t xml:space="preserve"> </w:t>
      </w:r>
      <w:r w:rsidRPr="005B294B">
        <w:rPr>
          <w:sz w:val="22"/>
          <w:szCs w:val="22"/>
        </w:rPr>
        <w:t>4</w:t>
      </w:r>
      <w:r w:rsidRPr="005B294B">
        <w:rPr>
          <w:rFonts w:hint="eastAsia"/>
          <w:sz w:val="22"/>
          <w:szCs w:val="22"/>
        </w:rPr>
        <w:t xml:space="preserve"> </w:t>
      </w:r>
      <w:r w:rsidRPr="005B294B">
        <w:rPr>
          <w:sz w:val="22"/>
          <w:szCs w:val="22"/>
        </w:rPr>
        <w:t>and</w:t>
      </w:r>
      <w:r w:rsidRPr="005B294B">
        <w:rPr>
          <w:rFonts w:hint="eastAsia"/>
          <w:sz w:val="22"/>
          <w:szCs w:val="22"/>
        </w:rPr>
        <w:t xml:space="preserve"> 18, share of </w:t>
      </w:r>
      <w:r w:rsidRPr="005B294B">
        <w:rPr>
          <w:sz w:val="22"/>
          <w:szCs w:val="22"/>
        </w:rPr>
        <w:t xml:space="preserve">the </w:t>
      </w:r>
      <w:r w:rsidRPr="005B294B">
        <w:rPr>
          <w:rFonts w:hint="eastAsia"/>
          <w:sz w:val="22"/>
          <w:szCs w:val="22"/>
        </w:rPr>
        <w:t>population above</w:t>
      </w:r>
      <w:r w:rsidRPr="005B294B">
        <w:rPr>
          <w:sz w:val="22"/>
          <w:szCs w:val="22"/>
        </w:rPr>
        <w:t xml:space="preserve"> age</w:t>
      </w:r>
      <w:r w:rsidRPr="005B294B">
        <w:rPr>
          <w:rFonts w:hint="eastAsia"/>
          <w:sz w:val="22"/>
          <w:szCs w:val="22"/>
        </w:rPr>
        <w:t xml:space="preserve"> 65, share Hispanic, share </w:t>
      </w:r>
      <w:r w:rsidRPr="005B294B">
        <w:rPr>
          <w:sz w:val="22"/>
          <w:szCs w:val="22"/>
        </w:rPr>
        <w:t>non-Hispanic B</w:t>
      </w:r>
      <w:r w:rsidRPr="005B294B">
        <w:rPr>
          <w:rFonts w:hint="eastAsia"/>
          <w:sz w:val="22"/>
          <w:szCs w:val="22"/>
        </w:rPr>
        <w:t xml:space="preserve">lack, share Asian, share of </w:t>
      </w:r>
      <w:r w:rsidRPr="005B294B">
        <w:rPr>
          <w:sz w:val="22"/>
          <w:szCs w:val="22"/>
        </w:rPr>
        <w:t xml:space="preserve">the </w:t>
      </w:r>
      <w:r w:rsidRPr="005B294B">
        <w:rPr>
          <w:rFonts w:hint="eastAsia"/>
          <w:sz w:val="22"/>
          <w:szCs w:val="22"/>
        </w:rPr>
        <w:t xml:space="preserve">population </w:t>
      </w:r>
      <w:r w:rsidRPr="005B294B">
        <w:rPr>
          <w:sz w:val="22"/>
          <w:szCs w:val="22"/>
        </w:rPr>
        <w:t>with income below the</w:t>
      </w:r>
      <w:r w:rsidRPr="005B294B">
        <w:rPr>
          <w:rFonts w:hint="eastAsia"/>
          <w:sz w:val="22"/>
          <w:szCs w:val="22"/>
        </w:rPr>
        <w:t xml:space="preserve"> 1980 </w:t>
      </w:r>
      <w:r w:rsidRPr="005B294B">
        <w:rPr>
          <w:sz w:val="22"/>
          <w:szCs w:val="22"/>
        </w:rPr>
        <w:t>poverty</w:t>
      </w:r>
      <w:r w:rsidRPr="005B294B">
        <w:rPr>
          <w:rFonts w:hint="eastAsia"/>
          <w:sz w:val="22"/>
          <w:szCs w:val="22"/>
        </w:rPr>
        <w:t xml:space="preserve"> line</w:t>
      </w:r>
      <w:r w:rsidRPr="005B294B">
        <w:rPr>
          <w:sz w:val="22"/>
          <w:szCs w:val="22"/>
        </w:rPr>
        <w:t>,</w:t>
      </w:r>
      <w:r w:rsidRPr="005B294B">
        <w:rPr>
          <w:rFonts w:hint="eastAsia"/>
          <w:sz w:val="22"/>
          <w:szCs w:val="22"/>
        </w:rPr>
        <w:t xml:space="preserve"> and local median family income</w:t>
      </w:r>
      <w:r w:rsidRPr="005B294B">
        <w:rPr>
          <w:sz w:val="22"/>
          <w:szCs w:val="22"/>
        </w:rPr>
        <w:t xml:space="preserve">. </w:t>
      </w:r>
      <w:r>
        <w:rPr>
          <w:sz w:val="22"/>
          <w:szCs w:val="22"/>
        </w:rPr>
        <w:t>Year</w:t>
      </w:r>
      <w:r w:rsidRPr="005B294B">
        <w:rPr>
          <w:sz w:val="22"/>
          <w:szCs w:val="22"/>
        </w:rPr>
        <w:t xml:space="preserve"> fixed effect</w:t>
      </w:r>
      <w:r>
        <w:rPr>
          <w:sz w:val="22"/>
          <w:szCs w:val="22"/>
        </w:rPr>
        <w:t>s</w:t>
      </w:r>
      <w:r w:rsidRPr="005B294B">
        <w:rPr>
          <w:sz w:val="22"/>
          <w:szCs w:val="22"/>
        </w:rPr>
        <w:t xml:space="preserve"> </w:t>
      </w:r>
      <w:r>
        <w:rPr>
          <w:sz w:val="22"/>
          <w:szCs w:val="22"/>
        </w:rPr>
        <w:t>are</w:t>
      </w:r>
      <w:r w:rsidRPr="005B294B">
        <w:rPr>
          <w:sz w:val="22"/>
          <w:szCs w:val="22"/>
        </w:rPr>
        <w:t xml:space="preserve"> denoted </w:t>
      </w:r>
      <m:oMath>
        <m:sSub>
          <m:sSubPr>
            <m:ctrlPr>
              <w:rPr>
                <w:rFonts w:ascii="Cambria Math" w:hAnsi="Cambria Math"/>
                <w:sz w:val="22"/>
                <w:szCs w:val="22"/>
              </w:rPr>
            </m:ctrlPr>
          </m:sSubPr>
          <m:e>
            <m:r>
              <m:rPr>
                <m:sty m:val="p"/>
              </m:rPr>
              <w:rPr>
                <w:rFonts w:ascii="Cambria Math" w:hAnsi="Cambria Math"/>
                <w:sz w:val="22"/>
                <w:szCs w:val="22"/>
              </w:rPr>
              <m:t>γ</m:t>
            </m:r>
          </m:e>
          <m:sub>
            <m:r>
              <m:rPr>
                <m:sty m:val="p"/>
              </m:rPr>
              <w:rPr>
                <w:rFonts w:ascii="Cambria Math" w:hAnsi="Cambria Math"/>
                <w:sz w:val="22"/>
                <w:szCs w:val="22"/>
              </w:rPr>
              <m:t>t</m:t>
            </m:r>
          </m:sub>
        </m:sSub>
      </m:oMath>
      <w:r>
        <w:rPr>
          <w:sz w:val="22"/>
          <w:szCs w:val="22"/>
        </w:rPr>
        <w:t xml:space="preserve">. Because my dependent variable is measured in changes, the year fixed effects </w:t>
      </w:r>
      <w:r w:rsidRPr="005B294B">
        <w:rPr>
          <w:sz w:val="22"/>
          <w:szCs w:val="22"/>
        </w:rPr>
        <w:t>will control for different trends.</w:t>
      </w:r>
      <w:r w:rsidRPr="005B294B">
        <w:rPr>
          <w:rFonts w:hint="eastAsia"/>
          <w:sz w:val="22"/>
          <w:szCs w:val="22"/>
        </w:rPr>
        <w:t xml:space="preserve"> </w:t>
      </w:r>
    </w:p>
    <w:p w14:paraId="4871E398" w14:textId="77777777" w:rsidR="00B44B52" w:rsidRPr="005B294B" w:rsidRDefault="00B44B52" w:rsidP="00B44B52">
      <w:pPr>
        <w:spacing w:after="100" w:line="340" w:lineRule="atLeast"/>
        <w:jc w:val="both"/>
        <w:rPr>
          <w:sz w:val="22"/>
          <w:szCs w:val="22"/>
        </w:rPr>
      </w:pPr>
      <w:r>
        <w:rPr>
          <w:sz w:val="22"/>
          <w:szCs w:val="22"/>
        </w:rPr>
        <w:t xml:space="preserve">            </w:t>
      </w:r>
      <w:r w:rsidRPr="005B294B">
        <w:rPr>
          <w:sz w:val="22"/>
          <w:szCs w:val="22"/>
        </w:rPr>
        <w:t xml:space="preserve">One </w:t>
      </w:r>
      <w:r>
        <w:rPr>
          <w:sz w:val="22"/>
          <w:szCs w:val="22"/>
        </w:rPr>
        <w:t xml:space="preserve">potential </w:t>
      </w:r>
      <w:r w:rsidRPr="005B294B">
        <w:rPr>
          <w:sz w:val="22"/>
          <w:szCs w:val="22"/>
        </w:rPr>
        <w:t xml:space="preserve">threat </w:t>
      </w:r>
      <w:r>
        <w:rPr>
          <w:sz w:val="22"/>
          <w:szCs w:val="22"/>
        </w:rPr>
        <w:t>to this</w:t>
      </w:r>
      <w:r w:rsidRPr="005B294B">
        <w:rPr>
          <w:sz w:val="22"/>
          <w:szCs w:val="22"/>
        </w:rPr>
        <w:t xml:space="preserve"> identification strategy is</w:t>
      </w:r>
      <w:r>
        <w:rPr>
          <w:sz w:val="22"/>
          <w:szCs w:val="22"/>
        </w:rPr>
        <w:t xml:space="preserve"> that</w:t>
      </w:r>
      <w:r w:rsidRPr="005B294B">
        <w:rPr>
          <w:sz w:val="22"/>
          <w:szCs w:val="22"/>
        </w:rPr>
        <w:t xml:space="preserve"> </w:t>
      </w:r>
      <w:r>
        <w:rPr>
          <w:sz w:val="22"/>
          <w:szCs w:val="22"/>
        </w:rPr>
        <w:t xml:space="preserve">changes in </w:t>
      </w:r>
      <w:r w:rsidRPr="005B294B">
        <w:rPr>
          <w:sz w:val="22"/>
          <w:szCs w:val="22"/>
        </w:rPr>
        <w:t xml:space="preserve">exposure to </w:t>
      </w:r>
      <w:r>
        <w:rPr>
          <w:sz w:val="22"/>
          <w:szCs w:val="22"/>
        </w:rPr>
        <w:t xml:space="preserve">Chinese </w:t>
      </w:r>
      <w:r w:rsidRPr="005B294B">
        <w:rPr>
          <w:sz w:val="22"/>
          <w:szCs w:val="22"/>
        </w:rPr>
        <w:t>import</w:t>
      </w:r>
      <w:r>
        <w:rPr>
          <w:sz w:val="22"/>
          <w:szCs w:val="22"/>
        </w:rPr>
        <w:t>s</w:t>
      </w:r>
      <w:r w:rsidRPr="005B294B">
        <w:rPr>
          <w:sz w:val="22"/>
          <w:szCs w:val="22"/>
        </w:rPr>
        <w:t xml:space="preserve"> </w:t>
      </w:r>
      <w:r>
        <w:rPr>
          <w:rFonts w:hint="eastAsia"/>
          <w:sz w:val="22"/>
          <w:szCs w:val="22"/>
        </w:rPr>
        <w:t>might</w:t>
      </w:r>
      <w:r>
        <w:rPr>
          <w:sz w:val="22"/>
          <w:szCs w:val="22"/>
        </w:rPr>
        <w:t xml:space="preserve"> be </w:t>
      </w:r>
      <w:r w:rsidRPr="005B294B">
        <w:rPr>
          <w:sz w:val="22"/>
          <w:szCs w:val="22"/>
        </w:rPr>
        <w:t>correlated with the demand shock</w:t>
      </w:r>
      <w:r>
        <w:rPr>
          <w:sz w:val="22"/>
          <w:szCs w:val="22"/>
        </w:rPr>
        <w:t xml:space="preserve">s </w:t>
      </w:r>
      <w:r w:rsidRPr="005B294B">
        <w:rPr>
          <w:sz w:val="22"/>
          <w:szCs w:val="22"/>
        </w:rPr>
        <w:t>in the US</w:t>
      </w:r>
      <w:r>
        <w:rPr>
          <w:sz w:val="22"/>
          <w:szCs w:val="22"/>
        </w:rPr>
        <w:t>.</w:t>
      </w:r>
      <w:r w:rsidRPr="005B294B">
        <w:rPr>
          <w:sz w:val="22"/>
          <w:szCs w:val="22"/>
        </w:rPr>
        <w:t xml:space="preserve"> For example, during the housing bubble</w:t>
      </w:r>
      <w:r>
        <w:rPr>
          <w:sz w:val="22"/>
          <w:szCs w:val="22"/>
        </w:rPr>
        <w:t xml:space="preserve"> in the US, which began in 2005,</w:t>
      </w:r>
      <w:r w:rsidRPr="005B294B">
        <w:rPr>
          <w:sz w:val="22"/>
          <w:szCs w:val="22"/>
        </w:rPr>
        <w:t xml:space="preserve"> </w:t>
      </w:r>
      <w:r>
        <w:rPr>
          <w:sz w:val="22"/>
          <w:szCs w:val="22"/>
        </w:rPr>
        <w:t>the increase in i</w:t>
      </w:r>
      <w:r w:rsidRPr="005B294B">
        <w:rPr>
          <w:sz w:val="22"/>
          <w:szCs w:val="22"/>
        </w:rPr>
        <w:t>mports of cement and steel from China</w:t>
      </w:r>
      <w:r>
        <w:rPr>
          <w:sz w:val="22"/>
          <w:szCs w:val="22"/>
        </w:rPr>
        <w:t xml:space="preserve"> was mainly driven by the positive domestic </w:t>
      </w:r>
      <w:r w:rsidRPr="005B294B">
        <w:rPr>
          <w:sz w:val="22"/>
          <w:szCs w:val="22"/>
        </w:rPr>
        <w:t>demand</w:t>
      </w:r>
      <w:r>
        <w:rPr>
          <w:sz w:val="22"/>
          <w:szCs w:val="22"/>
        </w:rPr>
        <w:t xml:space="preserve"> shock instead of exogenous increases in competitiveness of China’s cement and steel</w:t>
      </w:r>
      <w:r w:rsidRPr="005B294B">
        <w:rPr>
          <w:sz w:val="22"/>
          <w:szCs w:val="22"/>
        </w:rPr>
        <w:t>. If import</w:t>
      </w:r>
      <w:r>
        <w:rPr>
          <w:sz w:val="22"/>
          <w:szCs w:val="22"/>
        </w:rPr>
        <w:t>s</w:t>
      </w:r>
      <w:r w:rsidRPr="005B294B">
        <w:rPr>
          <w:sz w:val="22"/>
          <w:szCs w:val="22"/>
        </w:rPr>
        <w:t xml:space="preserve"> from China and </w:t>
      </w:r>
      <w:r>
        <w:rPr>
          <w:sz w:val="22"/>
          <w:szCs w:val="22"/>
        </w:rPr>
        <w:t xml:space="preserve">production in </w:t>
      </w:r>
      <w:r w:rsidRPr="005B294B">
        <w:rPr>
          <w:sz w:val="22"/>
          <w:szCs w:val="22"/>
        </w:rPr>
        <w:t>US manufacturing</w:t>
      </w:r>
      <w:r>
        <w:rPr>
          <w:sz w:val="22"/>
          <w:szCs w:val="22"/>
        </w:rPr>
        <w:t xml:space="preserve"> industries</w:t>
      </w:r>
      <w:r w:rsidRPr="005B294B">
        <w:rPr>
          <w:sz w:val="22"/>
          <w:szCs w:val="22"/>
        </w:rPr>
        <w:t xml:space="preserve"> are </w:t>
      </w:r>
      <w:r>
        <w:rPr>
          <w:sz w:val="22"/>
          <w:szCs w:val="22"/>
        </w:rPr>
        <w:t xml:space="preserve">both caused by </w:t>
      </w:r>
      <w:r w:rsidRPr="005B294B">
        <w:rPr>
          <w:sz w:val="22"/>
          <w:szCs w:val="22"/>
        </w:rPr>
        <w:t xml:space="preserve">domestic demand shocks, </w:t>
      </w:r>
      <w:r>
        <w:rPr>
          <w:sz w:val="22"/>
          <w:szCs w:val="22"/>
        </w:rPr>
        <w:t>the manufacturing sector in both countries will thrive. If imports from China are mainly driven by domestic demand shocks,</w:t>
      </w:r>
      <w:r w:rsidRPr="005B294B">
        <w:rPr>
          <w:sz w:val="22"/>
          <w:szCs w:val="22"/>
        </w:rPr>
        <w:t xml:space="preserve"> the OLS estimated effect of </w:t>
      </w:r>
      <w:r>
        <w:rPr>
          <w:sz w:val="22"/>
          <w:szCs w:val="22"/>
        </w:rPr>
        <w:t xml:space="preserve">an increase in </w:t>
      </w:r>
      <w:r w:rsidRPr="005B294B">
        <w:rPr>
          <w:sz w:val="22"/>
          <w:szCs w:val="22"/>
        </w:rPr>
        <w:t>Chinese import</w:t>
      </w:r>
      <w:r>
        <w:rPr>
          <w:sz w:val="22"/>
          <w:szCs w:val="22"/>
        </w:rPr>
        <w:t>s</w:t>
      </w:r>
      <w:r w:rsidRPr="005B294B">
        <w:rPr>
          <w:sz w:val="22"/>
          <w:szCs w:val="22"/>
        </w:rPr>
        <w:t xml:space="preserve"> on education expenditure </w:t>
      </w:r>
      <w:r>
        <w:rPr>
          <w:sz w:val="22"/>
          <w:szCs w:val="22"/>
        </w:rPr>
        <w:t>will</w:t>
      </w:r>
      <w:r w:rsidRPr="005B294B">
        <w:rPr>
          <w:sz w:val="22"/>
          <w:szCs w:val="22"/>
        </w:rPr>
        <w:t xml:space="preserve"> understate the true effect. To </w:t>
      </w:r>
      <w:r>
        <w:rPr>
          <w:rFonts w:hint="eastAsia"/>
          <w:sz w:val="22"/>
          <w:szCs w:val="22"/>
        </w:rPr>
        <w:t>alleviate</w:t>
      </w:r>
      <w:r>
        <w:rPr>
          <w:sz w:val="22"/>
          <w:szCs w:val="22"/>
        </w:rPr>
        <w:t xml:space="preserve"> </w:t>
      </w:r>
      <w:r w:rsidRPr="005B294B">
        <w:rPr>
          <w:sz w:val="22"/>
          <w:szCs w:val="22"/>
        </w:rPr>
        <w:t>this problem, I use the contemporaneous growth of Chinese import</w:t>
      </w:r>
      <w:r>
        <w:rPr>
          <w:sz w:val="22"/>
          <w:szCs w:val="22"/>
        </w:rPr>
        <w:t>s</w:t>
      </w:r>
      <w:r w:rsidRPr="005B294B">
        <w:rPr>
          <w:sz w:val="22"/>
          <w:szCs w:val="22"/>
        </w:rPr>
        <w:t xml:space="preserve"> in eight other high-income countries to instrument </w:t>
      </w:r>
      <w:r>
        <w:rPr>
          <w:sz w:val="22"/>
          <w:szCs w:val="22"/>
        </w:rPr>
        <w:t xml:space="preserve">for </w:t>
      </w:r>
      <w:r w:rsidRPr="005B294B">
        <w:rPr>
          <w:sz w:val="22"/>
          <w:szCs w:val="22"/>
        </w:rPr>
        <w:t>the growth of Chinese import</w:t>
      </w:r>
      <w:r>
        <w:rPr>
          <w:sz w:val="22"/>
          <w:szCs w:val="22"/>
        </w:rPr>
        <w:t>s</w:t>
      </w:r>
      <w:r w:rsidRPr="005B294B">
        <w:rPr>
          <w:sz w:val="22"/>
          <w:szCs w:val="22"/>
        </w:rPr>
        <w:t xml:space="preserve"> in the U.S.</w:t>
      </w:r>
      <w:r w:rsidRPr="005B294B">
        <w:rPr>
          <w:rStyle w:val="FootnoteReference"/>
          <w:sz w:val="22"/>
          <w:szCs w:val="22"/>
        </w:rPr>
        <w:footnoteReference w:id="14"/>
      </w:r>
      <w:r w:rsidRPr="005B294B">
        <w:rPr>
          <w:sz w:val="22"/>
          <w:szCs w:val="22"/>
        </w:rPr>
        <w:t xml:space="preserve"> </w:t>
      </w:r>
      <w:r>
        <w:rPr>
          <w:sz w:val="22"/>
          <w:szCs w:val="22"/>
        </w:rPr>
        <w:t>As in Autor et al. (2013), the instrument</w:t>
      </w:r>
      <w:r w:rsidRPr="005B294B">
        <w:rPr>
          <w:sz w:val="22"/>
          <w:szCs w:val="22"/>
        </w:rPr>
        <w:t xml:space="preserve"> is </w:t>
      </w:r>
      <w:r>
        <w:rPr>
          <w:sz w:val="22"/>
          <w:szCs w:val="22"/>
        </w:rPr>
        <w:t>constructed</w:t>
      </w:r>
      <w:r w:rsidRPr="005B294B">
        <w:rPr>
          <w:sz w:val="22"/>
          <w:szCs w:val="22"/>
        </w:rPr>
        <w:t xml:space="preserve"> as follows: </w:t>
      </w:r>
    </w:p>
    <w:p w14:paraId="54350D58" w14:textId="77777777" w:rsidR="00B44B52" w:rsidRPr="00A64E07" w:rsidRDefault="00157748" w:rsidP="00B44B52">
      <w:pPr>
        <w:spacing w:after="100" w:line="340" w:lineRule="atLeast"/>
        <w:jc w:val="both"/>
        <w:rPr>
          <w:sz w:val="22"/>
          <w:szCs w:val="22"/>
        </w:rPr>
      </w:pPr>
      <m:oMathPara>
        <m:oMath>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it</m:t>
              </m:r>
            </m:sub>
            <m:sup>
              <m:r>
                <w:rPr>
                  <w:rFonts w:ascii="Cambria Math" w:hAnsi="Cambria Math"/>
                  <w:sz w:val="22"/>
                  <w:szCs w:val="22"/>
                </w:rPr>
                <m:t>o</m:t>
              </m:r>
            </m:sup>
          </m:sSubSup>
          <m:r>
            <m:rPr>
              <m:sty m:val="p"/>
            </m:rPr>
            <w:rPr>
              <w:rFonts w:ascii="Cambria Math" w:hAnsi="Cambria Math"/>
              <w:sz w:val="22"/>
              <w:szCs w:val="22"/>
            </w:rPr>
            <m:t xml:space="preserve"> =</m:t>
          </m:r>
          <m:nary>
            <m:naryPr>
              <m:chr m:val="∑"/>
              <m:limLoc m:val="undOvr"/>
              <m:supHide m:val="1"/>
              <m:ctrlPr>
                <w:rPr>
                  <w:rFonts w:ascii="Cambria Math" w:hAnsi="Cambria Math"/>
                  <w:sz w:val="22"/>
                  <w:szCs w:val="22"/>
                </w:rPr>
              </m:ctrlPr>
            </m:naryPr>
            <m:sub>
              <m:r>
                <m:rPr>
                  <m:sty m:val="p"/>
                </m:rPr>
                <w:rPr>
                  <w:rFonts w:ascii="Cambria Math" w:hAnsi="Cambria Math"/>
                  <w:sz w:val="22"/>
                  <w:szCs w:val="22"/>
                </w:rPr>
                <m:t>j</m:t>
              </m:r>
            </m:sub>
            <m:sup/>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ijt-1</m:t>
                      </m:r>
                    </m:sub>
                  </m:sSub>
                </m:num>
                <m:den>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ujt-1</m:t>
                      </m:r>
                    </m:sub>
                  </m:sSub>
                </m:den>
              </m:f>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ocjt</m:t>
                      </m:r>
                    </m:sub>
                  </m:sSub>
                </m:num>
                <m:den>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it-1</m:t>
                      </m:r>
                    </m:sub>
                  </m:sSub>
                </m:den>
              </m:f>
            </m:e>
          </m:nary>
        </m:oMath>
      </m:oMathPara>
    </w:p>
    <w:p w14:paraId="124DBB9E" w14:textId="77777777" w:rsidR="00B44B52" w:rsidRPr="005B294B" w:rsidRDefault="00B44B52" w:rsidP="00B44B52">
      <w:pPr>
        <w:spacing w:after="100" w:line="340" w:lineRule="atLeast"/>
        <w:jc w:val="both"/>
        <w:rPr>
          <w:sz w:val="22"/>
          <w:szCs w:val="22"/>
        </w:rPr>
      </w:pPr>
      <w:r>
        <w:rPr>
          <w:sz w:val="22"/>
          <w:szCs w:val="22"/>
        </w:rPr>
        <w:t xml:space="preserve">where </w:t>
      </w:r>
      <m:oMath>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ocjt</m:t>
            </m:r>
          </m:sub>
        </m:sSub>
      </m:oMath>
      <w:r w:rsidRPr="005B294B">
        <w:rPr>
          <w:sz w:val="22"/>
          <w:szCs w:val="22"/>
        </w:rPr>
        <w:t xml:space="preserve"> is the change in Chinese import</w:t>
      </w:r>
      <w:r>
        <w:rPr>
          <w:sz w:val="22"/>
          <w:szCs w:val="22"/>
        </w:rPr>
        <w:t>s</w:t>
      </w:r>
      <w:r w:rsidRPr="005B294B">
        <w:rPr>
          <w:sz w:val="22"/>
          <w:szCs w:val="22"/>
        </w:rPr>
        <w:t xml:space="preserve"> in other high</w:t>
      </w:r>
      <w:r>
        <w:rPr>
          <w:sz w:val="22"/>
          <w:szCs w:val="22"/>
        </w:rPr>
        <w:t>-</w:t>
      </w:r>
      <w:r w:rsidRPr="005B294B">
        <w:rPr>
          <w:sz w:val="22"/>
          <w:szCs w:val="22"/>
        </w:rPr>
        <w:t xml:space="preserve">income </w:t>
      </w:r>
      <w:proofErr w:type="gramStart"/>
      <w:r w:rsidRPr="005B294B">
        <w:rPr>
          <w:sz w:val="22"/>
          <w:szCs w:val="22"/>
        </w:rPr>
        <w:t>countries</w:t>
      </w:r>
      <w:r>
        <w:rPr>
          <w:sz w:val="22"/>
          <w:szCs w:val="22"/>
        </w:rPr>
        <w:t>.</w:t>
      </w:r>
      <w:proofErr w:type="gramEnd"/>
      <w:r>
        <w:rPr>
          <w:sz w:val="22"/>
          <w:szCs w:val="22"/>
        </w:rPr>
        <w:t xml:space="preserve"> To address the concern that the US industrial structure might be affected by anticipated import competition from China, </w:t>
      </w:r>
      <w:r w:rsidRPr="005B294B">
        <w:rPr>
          <w:sz w:val="22"/>
          <w:szCs w:val="22"/>
        </w:rPr>
        <w:t xml:space="preserve">instead of using start of period employment in </w:t>
      </w:r>
      <w:r>
        <w:rPr>
          <w:rFonts w:hint="eastAsia"/>
          <w:sz w:val="22"/>
          <w:szCs w:val="22"/>
        </w:rPr>
        <w:t>CZ</w:t>
      </w:r>
      <w:r>
        <w:rPr>
          <w:sz w:val="22"/>
          <w:szCs w:val="22"/>
        </w:rPr>
        <w:t xml:space="preserve"> </w:t>
      </w:r>
      <w:proofErr w:type="spellStart"/>
      <w:r w:rsidRPr="005B294B">
        <w:rPr>
          <w:i/>
          <w:sz w:val="22"/>
          <w:szCs w:val="22"/>
        </w:rPr>
        <w:t>i</w:t>
      </w:r>
      <w:proofErr w:type="spellEnd"/>
      <w:r w:rsidRPr="005B294B">
        <w:rPr>
          <w:sz w:val="22"/>
          <w:szCs w:val="22"/>
        </w:rPr>
        <w:t xml:space="preserve">, I use ten-year-lagged employment </w:t>
      </w:r>
      <m:oMath>
        <m:sSub>
          <m:sSubPr>
            <m:ctrlPr>
              <w:rPr>
                <w:rFonts w:ascii="Cambria Math" w:hAnsi="Cambria Math"/>
                <w:sz w:val="22"/>
                <w:szCs w:val="22"/>
              </w:rPr>
            </m:ctrlPr>
          </m:sSubPr>
          <m:e>
            <m:r>
              <m:rPr>
                <m:sty m:val="p"/>
              </m:rPr>
              <w:rPr>
                <w:rFonts w:ascii="Cambria Math" w:hAnsi="Cambria Math"/>
                <w:sz w:val="22"/>
                <w:szCs w:val="22"/>
              </w:rPr>
              <m:t>L</m:t>
            </m:r>
          </m:e>
          <m:sub>
            <m:r>
              <m:rPr>
                <m:sty m:val="p"/>
              </m:rPr>
              <w:rPr>
                <w:rFonts w:ascii="Cambria Math" w:hAnsi="Cambria Math"/>
                <w:sz w:val="22"/>
                <w:szCs w:val="22"/>
              </w:rPr>
              <m:t>it-1</m:t>
            </m:r>
          </m:sub>
        </m:sSub>
      </m:oMath>
      <w:r>
        <w:rPr>
          <w:rFonts w:hint="eastAsia"/>
          <w:sz w:val="22"/>
          <w:szCs w:val="22"/>
        </w:rPr>
        <w:t>.</w:t>
      </w:r>
      <w:r w:rsidRPr="005B294B">
        <w:rPr>
          <w:sz w:val="22"/>
          <w:szCs w:val="22"/>
        </w:rPr>
        <w:t xml:space="preserve"> The instrument variable is </w:t>
      </w:r>
      <w:r w:rsidRPr="005B294B">
        <w:rPr>
          <w:sz w:val="22"/>
          <w:szCs w:val="22"/>
        </w:rPr>
        <w:lastRenderedPageBreak/>
        <w:t>created based on the assumption that growth in Chinese import</w:t>
      </w:r>
      <w:r>
        <w:rPr>
          <w:sz w:val="22"/>
          <w:szCs w:val="22"/>
        </w:rPr>
        <w:t>s</w:t>
      </w:r>
      <w:r w:rsidRPr="005B294B">
        <w:rPr>
          <w:sz w:val="22"/>
          <w:szCs w:val="22"/>
        </w:rPr>
        <w:t xml:space="preserve"> in the US is not</w:t>
      </w:r>
      <w:r>
        <w:rPr>
          <w:sz w:val="22"/>
          <w:szCs w:val="22"/>
        </w:rPr>
        <w:t xml:space="preserve"> driven by </w:t>
      </w:r>
      <w:r w:rsidRPr="005B294B">
        <w:rPr>
          <w:sz w:val="22"/>
          <w:szCs w:val="22"/>
        </w:rPr>
        <w:t>a worldwide demand shock, but mainly because of the rising competitiveness in Chinese manufacturing products</w:t>
      </w:r>
      <w:r>
        <w:rPr>
          <w:sz w:val="22"/>
          <w:szCs w:val="22"/>
        </w:rPr>
        <w:t xml:space="preserve"> as a result of institutional reforms in China</w:t>
      </w:r>
      <w:r w:rsidRPr="005B294B">
        <w:rPr>
          <w:sz w:val="22"/>
          <w:szCs w:val="22"/>
        </w:rPr>
        <w:t xml:space="preserve"> and </w:t>
      </w:r>
      <w:r>
        <w:rPr>
          <w:sz w:val="22"/>
          <w:szCs w:val="22"/>
        </w:rPr>
        <w:t xml:space="preserve">China’s </w:t>
      </w:r>
      <w:r w:rsidRPr="005B294B">
        <w:rPr>
          <w:sz w:val="22"/>
          <w:szCs w:val="22"/>
        </w:rPr>
        <w:t>accession to the WTO.</w:t>
      </w:r>
    </w:p>
    <w:p w14:paraId="4B235D49" w14:textId="7D94CFFB" w:rsidR="00B44B52" w:rsidRDefault="00B44B52" w:rsidP="00DF0753">
      <w:pPr>
        <w:widowControl w:val="0"/>
        <w:autoSpaceDE w:val="0"/>
        <w:autoSpaceDN w:val="0"/>
        <w:adjustRightInd w:val="0"/>
        <w:spacing w:line="360" w:lineRule="auto"/>
        <w:jc w:val="both"/>
        <w:rPr>
          <w:sz w:val="22"/>
          <w:szCs w:val="22"/>
        </w:rPr>
      </w:pPr>
      <w:r>
        <w:rPr>
          <w:sz w:val="22"/>
          <w:szCs w:val="22"/>
        </w:rPr>
        <w:t xml:space="preserve">            The instrumental variables estimate may still be biased for several reasons. First, if</w:t>
      </w:r>
      <w:r w:rsidRPr="005B294B">
        <w:rPr>
          <w:sz w:val="22"/>
          <w:szCs w:val="22"/>
        </w:rPr>
        <w:t xml:space="preserve"> demand shock</w:t>
      </w:r>
      <w:r>
        <w:rPr>
          <w:sz w:val="22"/>
          <w:szCs w:val="22"/>
        </w:rPr>
        <w:t>s</w:t>
      </w:r>
      <w:r w:rsidRPr="005B294B">
        <w:rPr>
          <w:sz w:val="22"/>
          <w:szCs w:val="22"/>
        </w:rPr>
        <w:t xml:space="preserve"> </w:t>
      </w:r>
      <w:r>
        <w:rPr>
          <w:sz w:val="22"/>
          <w:szCs w:val="22"/>
        </w:rPr>
        <w:t>in</w:t>
      </w:r>
      <w:r w:rsidRPr="005B294B">
        <w:rPr>
          <w:sz w:val="22"/>
          <w:szCs w:val="22"/>
        </w:rPr>
        <w:t xml:space="preserve"> the eight high</w:t>
      </w:r>
      <w:r>
        <w:rPr>
          <w:sz w:val="22"/>
          <w:szCs w:val="22"/>
        </w:rPr>
        <w:t>-</w:t>
      </w:r>
      <w:r w:rsidRPr="005B294B">
        <w:rPr>
          <w:sz w:val="22"/>
          <w:szCs w:val="22"/>
        </w:rPr>
        <w:t>income countries</w:t>
      </w:r>
      <w:r>
        <w:rPr>
          <w:sz w:val="22"/>
          <w:szCs w:val="22"/>
        </w:rPr>
        <w:t xml:space="preserve"> are correlated with demand shocks in the US, the IV estimator will underestimate the true effect.</w:t>
      </w:r>
      <w:r>
        <w:rPr>
          <w:rStyle w:val="FootnoteReference"/>
          <w:sz w:val="22"/>
          <w:szCs w:val="22"/>
        </w:rPr>
        <w:footnoteReference w:id="15"/>
      </w:r>
      <w:r>
        <w:rPr>
          <w:sz w:val="22"/>
          <w:szCs w:val="22"/>
        </w:rPr>
        <w:t xml:space="preserve"> </w:t>
      </w:r>
      <w:r w:rsidRPr="00313395">
        <w:rPr>
          <w:sz w:val="22"/>
          <w:szCs w:val="22"/>
        </w:rPr>
        <w:t>A</w:t>
      </w:r>
      <w:r w:rsidRPr="005B294B">
        <w:rPr>
          <w:sz w:val="22"/>
          <w:szCs w:val="22"/>
        </w:rPr>
        <w:t xml:space="preserve">nother </w:t>
      </w:r>
      <w:r>
        <w:rPr>
          <w:sz w:val="22"/>
          <w:szCs w:val="22"/>
        </w:rPr>
        <w:t xml:space="preserve">potential </w:t>
      </w:r>
      <w:r w:rsidRPr="005B294B">
        <w:rPr>
          <w:sz w:val="22"/>
          <w:szCs w:val="22"/>
        </w:rPr>
        <w:t xml:space="preserve">threat to identification </w:t>
      </w:r>
      <w:r>
        <w:rPr>
          <w:sz w:val="22"/>
          <w:szCs w:val="22"/>
        </w:rPr>
        <w:t>arises</w:t>
      </w:r>
      <w:r w:rsidRPr="005B294B">
        <w:rPr>
          <w:rFonts w:hint="eastAsia"/>
          <w:sz w:val="22"/>
          <w:szCs w:val="22"/>
        </w:rPr>
        <w:t xml:space="preserve"> if productivity growth is slow in the US and consumers</w:t>
      </w:r>
      <w:r w:rsidRPr="005B294B">
        <w:rPr>
          <w:sz w:val="22"/>
          <w:szCs w:val="22"/>
        </w:rPr>
        <w:t>’</w:t>
      </w:r>
      <w:r w:rsidRPr="005B294B">
        <w:rPr>
          <w:rFonts w:hint="eastAsia"/>
          <w:sz w:val="22"/>
          <w:szCs w:val="22"/>
        </w:rPr>
        <w:t xml:space="preserve"> </w:t>
      </w:r>
      <w:r w:rsidRPr="005B294B">
        <w:rPr>
          <w:sz w:val="22"/>
          <w:szCs w:val="22"/>
        </w:rPr>
        <w:t>demand</w:t>
      </w:r>
      <w:r w:rsidRPr="005B294B">
        <w:rPr>
          <w:rFonts w:hint="eastAsia"/>
          <w:sz w:val="22"/>
          <w:szCs w:val="22"/>
        </w:rPr>
        <w:t xml:space="preserve"> cannot be met by </w:t>
      </w:r>
      <w:r w:rsidRPr="005B294B">
        <w:rPr>
          <w:sz w:val="22"/>
          <w:szCs w:val="22"/>
        </w:rPr>
        <w:t>domestic</w:t>
      </w:r>
      <w:r w:rsidRPr="005B294B">
        <w:rPr>
          <w:rFonts w:hint="eastAsia"/>
          <w:sz w:val="22"/>
          <w:szCs w:val="22"/>
        </w:rPr>
        <w:t xml:space="preserve"> supply</w:t>
      </w:r>
      <w:r>
        <w:rPr>
          <w:sz w:val="22"/>
          <w:szCs w:val="22"/>
        </w:rPr>
        <w:t xml:space="preserve">. </w:t>
      </w:r>
      <w:r w:rsidR="00DF0753">
        <w:rPr>
          <w:sz w:val="22"/>
          <w:szCs w:val="22"/>
        </w:rPr>
        <w:t>If the increases in Chinese imports are driven by unmet U.S. consumer demand, as opposed to exogenous changes in productivity in China, then even large increases in imports may not imply job or wage loss for U.S. workers. Estimates of the impact of Chinese imports on school budgets would therefore be biased towards zero. It is unlikely, h</w:t>
      </w:r>
      <w:r w:rsidRPr="005B294B">
        <w:rPr>
          <w:sz w:val="22"/>
          <w:szCs w:val="22"/>
        </w:rPr>
        <w:t xml:space="preserve">owever, </w:t>
      </w:r>
      <w:r w:rsidR="00225678">
        <w:rPr>
          <w:sz w:val="22"/>
          <w:szCs w:val="22"/>
        </w:rPr>
        <w:t>that the large increases in Chinese imports were in fact driven by changes in U.S. productivity. Using</w:t>
      </w:r>
      <w:r w:rsidR="00225678" w:rsidRPr="00C66C67">
        <w:rPr>
          <w:sz w:val="22"/>
          <w:szCs w:val="22"/>
        </w:rPr>
        <w:t xml:space="preserve"> a value-added production function</w:t>
      </w:r>
      <w:r w:rsidR="00225678">
        <w:rPr>
          <w:sz w:val="22"/>
          <w:szCs w:val="22"/>
        </w:rPr>
        <w:t xml:space="preserve">, </w:t>
      </w:r>
      <w:r w:rsidRPr="005B294B">
        <w:rPr>
          <w:sz w:val="22"/>
          <w:szCs w:val="22"/>
        </w:rPr>
        <w:t xml:space="preserve">Brandt et al. </w:t>
      </w:r>
      <w:r>
        <w:rPr>
          <w:sz w:val="22"/>
          <w:szCs w:val="22"/>
        </w:rPr>
        <w:t>(</w:t>
      </w:r>
      <w:r w:rsidRPr="005B294B">
        <w:rPr>
          <w:sz w:val="22"/>
          <w:szCs w:val="22"/>
        </w:rPr>
        <w:t>2012)</w:t>
      </w:r>
      <w:r>
        <w:rPr>
          <w:sz w:val="22"/>
          <w:szCs w:val="22"/>
        </w:rPr>
        <w:t xml:space="preserve"> </w:t>
      </w:r>
      <w:r>
        <w:rPr>
          <w:rFonts w:hint="eastAsia"/>
          <w:sz w:val="22"/>
          <w:szCs w:val="22"/>
        </w:rPr>
        <w:t>estimate</w:t>
      </w:r>
      <w:r>
        <w:rPr>
          <w:sz w:val="22"/>
          <w:szCs w:val="22"/>
        </w:rPr>
        <w:t xml:space="preserve"> </w:t>
      </w:r>
      <w:r w:rsidRPr="00C66C67">
        <w:rPr>
          <w:rFonts w:ascii="Calibri" w:hAnsi="Calibri" w:cs="Calibri"/>
          <w:sz w:val="22"/>
          <w:szCs w:val="22"/>
        </w:rPr>
        <w:t>﻿</w:t>
      </w:r>
      <w:r>
        <w:rPr>
          <w:sz w:val="22"/>
          <w:szCs w:val="22"/>
        </w:rPr>
        <w:t>that</w:t>
      </w:r>
      <w:r w:rsidRPr="00C66C67">
        <w:rPr>
          <w:sz w:val="22"/>
          <w:szCs w:val="22"/>
        </w:rPr>
        <w:t xml:space="preserve"> firm-level </w:t>
      </w:r>
      <w:r w:rsidRPr="00C66C67">
        <w:rPr>
          <w:rFonts w:ascii="Calibri" w:hAnsi="Calibri" w:cs="Calibri"/>
          <w:sz w:val="22"/>
          <w:szCs w:val="22"/>
        </w:rPr>
        <w:t>﻿</w:t>
      </w:r>
      <w:r w:rsidRPr="00C66C67">
        <w:rPr>
          <w:sz w:val="22"/>
          <w:szCs w:val="22"/>
        </w:rPr>
        <w:t xml:space="preserve">total factor productivity (TFP) growth of manufacturing firms </w:t>
      </w:r>
      <w:r>
        <w:rPr>
          <w:sz w:val="22"/>
          <w:szCs w:val="22"/>
        </w:rPr>
        <w:t xml:space="preserve">in China averaged </w:t>
      </w:r>
      <w:r w:rsidRPr="00C66C67">
        <w:rPr>
          <w:sz w:val="22"/>
          <w:szCs w:val="22"/>
        </w:rPr>
        <w:t xml:space="preserve">7.96% </w:t>
      </w:r>
      <w:r>
        <w:rPr>
          <w:sz w:val="22"/>
          <w:szCs w:val="22"/>
        </w:rPr>
        <w:t>from 1998 to 2007</w:t>
      </w:r>
      <w:r w:rsidR="00225678">
        <w:rPr>
          <w:sz w:val="22"/>
          <w:szCs w:val="22"/>
        </w:rPr>
        <w:t xml:space="preserve">. </w:t>
      </w:r>
      <w:r w:rsidR="00A11EA5">
        <w:rPr>
          <w:sz w:val="22"/>
          <w:szCs w:val="22"/>
        </w:rPr>
        <w:t>Meanwhile, TFP</w:t>
      </w:r>
      <w:r>
        <w:rPr>
          <w:sz w:val="22"/>
          <w:szCs w:val="22"/>
        </w:rPr>
        <w:t xml:space="preserve"> growth in </w:t>
      </w:r>
      <w:r w:rsidR="00225678">
        <w:rPr>
          <w:sz w:val="22"/>
          <w:szCs w:val="22"/>
        </w:rPr>
        <w:t xml:space="preserve">the </w:t>
      </w:r>
      <w:r>
        <w:rPr>
          <w:sz w:val="22"/>
          <w:szCs w:val="22"/>
        </w:rPr>
        <w:t>U</w:t>
      </w:r>
      <w:r w:rsidR="00225678">
        <w:rPr>
          <w:sz w:val="22"/>
          <w:szCs w:val="22"/>
        </w:rPr>
        <w:t>.</w:t>
      </w:r>
      <w:r>
        <w:rPr>
          <w:sz w:val="22"/>
          <w:szCs w:val="22"/>
        </w:rPr>
        <w:t>S</w:t>
      </w:r>
      <w:r w:rsidR="00225678">
        <w:rPr>
          <w:sz w:val="22"/>
          <w:szCs w:val="22"/>
        </w:rPr>
        <w:t>. during that time, as</w:t>
      </w:r>
      <w:r>
        <w:rPr>
          <w:sz w:val="22"/>
          <w:szCs w:val="22"/>
        </w:rPr>
        <w:t xml:space="preserve"> measured by Bureau of </w:t>
      </w:r>
      <w:r>
        <w:rPr>
          <w:rFonts w:hint="eastAsia"/>
          <w:sz w:val="22"/>
          <w:szCs w:val="22"/>
        </w:rPr>
        <w:t>labor</w:t>
      </w:r>
      <w:r>
        <w:rPr>
          <w:sz w:val="22"/>
          <w:szCs w:val="22"/>
        </w:rPr>
        <w:t xml:space="preserve"> Statistics</w:t>
      </w:r>
      <w:r w:rsidR="00225678">
        <w:rPr>
          <w:sz w:val="22"/>
          <w:szCs w:val="22"/>
        </w:rPr>
        <w:t>, was only</w:t>
      </w:r>
      <w:r>
        <w:rPr>
          <w:sz w:val="22"/>
          <w:szCs w:val="22"/>
        </w:rPr>
        <w:t xml:space="preserve"> 3.9%</w:t>
      </w:r>
      <w:r w:rsidR="00225678">
        <w:rPr>
          <w:sz w:val="22"/>
          <w:szCs w:val="22"/>
        </w:rPr>
        <w:t>.</w:t>
      </w:r>
      <w:r>
        <w:rPr>
          <w:rStyle w:val="FootnoteReference"/>
          <w:sz w:val="22"/>
          <w:szCs w:val="22"/>
        </w:rPr>
        <w:footnoteReference w:id="16"/>
      </w:r>
      <w:r>
        <w:rPr>
          <w:sz w:val="22"/>
          <w:szCs w:val="22"/>
        </w:rPr>
        <w:t xml:space="preserve"> </w:t>
      </w:r>
      <w:r w:rsidR="00225678">
        <w:rPr>
          <w:sz w:val="22"/>
          <w:szCs w:val="22"/>
        </w:rPr>
        <w:t xml:space="preserve">These figures suggest </w:t>
      </w:r>
      <w:r>
        <w:rPr>
          <w:sz w:val="22"/>
          <w:szCs w:val="22"/>
        </w:rPr>
        <w:t xml:space="preserve">that </w:t>
      </w:r>
      <w:r w:rsidRPr="005B294B">
        <w:rPr>
          <w:sz w:val="22"/>
          <w:szCs w:val="22"/>
        </w:rPr>
        <w:t>rising Chinese import</w:t>
      </w:r>
      <w:r w:rsidR="00225678">
        <w:rPr>
          <w:sz w:val="22"/>
          <w:szCs w:val="22"/>
        </w:rPr>
        <w:t>s was</w:t>
      </w:r>
      <w:r w:rsidRPr="005B294B">
        <w:rPr>
          <w:sz w:val="22"/>
          <w:szCs w:val="22"/>
        </w:rPr>
        <w:t xml:space="preserve"> mainly </w:t>
      </w:r>
      <w:r>
        <w:rPr>
          <w:sz w:val="22"/>
          <w:szCs w:val="22"/>
        </w:rPr>
        <w:t>driven by</w:t>
      </w:r>
      <w:r w:rsidRPr="005B294B">
        <w:rPr>
          <w:sz w:val="22"/>
          <w:szCs w:val="22"/>
        </w:rPr>
        <w:t xml:space="preserve"> China’s productivity shock</w:t>
      </w:r>
      <w:r>
        <w:rPr>
          <w:sz w:val="22"/>
          <w:szCs w:val="22"/>
        </w:rPr>
        <w:t>s</w:t>
      </w:r>
      <w:r w:rsidRPr="005B294B">
        <w:rPr>
          <w:sz w:val="22"/>
          <w:szCs w:val="22"/>
        </w:rPr>
        <w:t xml:space="preserve">. </w:t>
      </w:r>
    </w:p>
    <w:p w14:paraId="6A130EA4" w14:textId="77777777" w:rsidR="00A20361" w:rsidRPr="00CF47DE" w:rsidRDefault="00A20361" w:rsidP="00A20361">
      <w:pPr>
        <w:widowControl w:val="0"/>
        <w:autoSpaceDE w:val="0"/>
        <w:autoSpaceDN w:val="0"/>
        <w:adjustRightInd w:val="0"/>
        <w:spacing w:line="360" w:lineRule="auto"/>
        <w:jc w:val="both"/>
        <w:rPr>
          <w:rFonts w:ascii="Times" w:hAnsi="Times" w:cs="Times"/>
          <w:color w:val="000000"/>
          <w:sz w:val="22"/>
          <w:szCs w:val="22"/>
        </w:rPr>
      </w:pPr>
    </w:p>
    <w:p w14:paraId="7825988B" w14:textId="4715CD6E" w:rsidR="00A20361" w:rsidRPr="00824D77" w:rsidRDefault="00FF450B" w:rsidP="00A20361">
      <w:pPr>
        <w:spacing w:line="360" w:lineRule="auto"/>
        <w:jc w:val="both"/>
        <w:rPr>
          <w:rFonts w:ascii="Times" w:hAnsi="Times" w:cs="Times"/>
          <w:b/>
          <w:color w:val="000000"/>
        </w:rPr>
      </w:pPr>
      <w:r w:rsidRPr="00824D77">
        <w:rPr>
          <w:rFonts w:ascii="Times" w:hAnsi="Times" w:cs="Times"/>
          <w:b/>
          <w:color w:val="000000"/>
        </w:rPr>
        <w:t>5</w:t>
      </w:r>
      <w:r w:rsidR="00A20361" w:rsidRPr="00824D77">
        <w:rPr>
          <w:rFonts w:ascii="Times" w:hAnsi="Times" w:cs="Times"/>
          <w:b/>
          <w:color w:val="000000"/>
        </w:rPr>
        <w:t>. Results</w:t>
      </w:r>
    </w:p>
    <w:p w14:paraId="555A0D12" w14:textId="29952F68" w:rsidR="00A20361" w:rsidRPr="0055579D" w:rsidRDefault="00FF450B" w:rsidP="00A20361">
      <w:pPr>
        <w:spacing w:line="360" w:lineRule="auto"/>
        <w:jc w:val="both"/>
        <w:rPr>
          <w:rFonts w:ascii="Times" w:hAnsi="Times" w:cs="Times"/>
          <w:i/>
          <w:color w:val="000000"/>
          <w:sz w:val="22"/>
          <w:szCs w:val="22"/>
        </w:rPr>
      </w:pPr>
      <w:r>
        <w:rPr>
          <w:rFonts w:ascii="Times" w:hAnsi="Times" w:cs="Times"/>
          <w:i/>
          <w:color w:val="000000"/>
          <w:sz w:val="22"/>
          <w:szCs w:val="22"/>
        </w:rPr>
        <w:t>5.</w:t>
      </w:r>
      <w:r w:rsidR="00A20361" w:rsidRPr="0055579D">
        <w:rPr>
          <w:rFonts w:ascii="Times" w:hAnsi="Times" w:cs="Times"/>
          <w:i/>
          <w:color w:val="000000"/>
          <w:sz w:val="22"/>
          <w:szCs w:val="22"/>
        </w:rPr>
        <w:t>1. Baseline Result</w:t>
      </w:r>
      <w:r w:rsidR="00CB4145">
        <w:rPr>
          <w:rFonts w:ascii="Times" w:hAnsi="Times" w:cs="Times"/>
          <w:i/>
          <w:color w:val="000000"/>
          <w:sz w:val="22"/>
          <w:szCs w:val="22"/>
        </w:rPr>
        <w:t>s</w:t>
      </w:r>
    </w:p>
    <w:p w14:paraId="7AB4600D" w14:textId="1D11137F" w:rsidR="00A20361" w:rsidRPr="005B294B" w:rsidRDefault="00A20361" w:rsidP="00A20361">
      <w:pPr>
        <w:spacing w:line="360" w:lineRule="auto"/>
        <w:jc w:val="both"/>
        <w:rPr>
          <w:sz w:val="22"/>
          <w:szCs w:val="22"/>
        </w:rPr>
      </w:pPr>
      <w:r>
        <w:rPr>
          <w:sz w:val="22"/>
          <w:szCs w:val="22"/>
        </w:rPr>
        <w:t xml:space="preserve">In </w:t>
      </w:r>
      <w:r w:rsidRPr="005B294B">
        <w:rPr>
          <w:sz w:val="22"/>
          <w:szCs w:val="22"/>
        </w:rPr>
        <w:t xml:space="preserve">Table </w:t>
      </w:r>
      <w:r>
        <w:rPr>
          <w:sz w:val="22"/>
          <w:szCs w:val="22"/>
        </w:rPr>
        <w:t>3, I</w:t>
      </w:r>
      <w:r w:rsidRPr="005B294B">
        <w:rPr>
          <w:sz w:val="22"/>
          <w:szCs w:val="22"/>
        </w:rPr>
        <w:t xml:space="preserve"> </w:t>
      </w:r>
      <w:r>
        <w:rPr>
          <w:rFonts w:hint="eastAsia"/>
          <w:sz w:val="22"/>
          <w:szCs w:val="22"/>
        </w:rPr>
        <w:t>present</w:t>
      </w:r>
      <w:r>
        <w:rPr>
          <w:sz w:val="22"/>
          <w:szCs w:val="22"/>
        </w:rPr>
        <w:t xml:space="preserve"> </w:t>
      </w:r>
      <w:r w:rsidRPr="005B294B">
        <w:rPr>
          <w:sz w:val="22"/>
          <w:szCs w:val="22"/>
        </w:rPr>
        <w:t>OLS</w:t>
      </w:r>
      <w:r>
        <w:rPr>
          <w:sz w:val="22"/>
          <w:szCs w:val="22"/>
        </w:rPr>
        <w:t xml:space="preserve"> and 2SLS</w:t>
      </w:r>
      <w:r w:rsidRPr="005B294B">
        <w:rPr>
          <w:sz w:val="22"/>
          <w:szCs w:val="22"/>
        </w:rPr>
        <w:t xml:space="preserve"> estimates of the effect of </w:t>
      </w:r>
      <w:r w:rsidRPr="005B294B">
        <w:rPr>
          <w:rFonts w:hint="eastAsia"/>
          <w:sz w:val="22"/>
          <w:szCs w:val="22"/>
        </w:rPr>
        <w:t>change</w:t>
      </w:r>
      <w:r>
        <w:rPr>
          <w:sz w:val="22"/>
          <w:szCs w:val="22"/>
        </w:rPr>
        <w:t>s</w:t>
      </w:r>
      <w:r w:rsidRPr="005B294B">
        <w:rPr>
          <w:rFonts w:hint="eastAsia"/>
          <w:sz w:val="22"/>
          <w:szCs w:val="22"/>
        </w:rPr>
        <w:t xml:space="preserve"> in local </w:t>
      </w:r>
      <w:r w:rsidRPr="005B294B">
        <w:rPr>
          <w:sz w:val="22"/>
          <w:szCs w:val="22"/>
        </w:rPr>
        <w:t xml:space="preserve">Chinese import </w:t>
      </w:r>
      <w:r w:rsidRPr="005B294B">
        <w:rPr>
          <w:rFonts w:hint="eastAsia"/>
          <w:sz w:val="22"/>
          <w:szCs w:val="22"/>
        </w:rPr>
        <w:t>exposure</w:t>
      </w:r>
      <w:r w:rsidRPr="005B294B">
        <w:rPr>
          <w:sz w:val="22"/>
          <w:szCs w:val="22"/>
        </w:rPr>
        <w:t xml:space="preserve"> on </w:t>
      </w:r>
      <w:r w:rsidRPr="005B294B">
        <w:rPr>
          <w:rFonts w:hint="eastAsia"/>
          <w:sz w:val="22"/>
          <w:szCs w:val="22"/>
        </w:rPr>
        <w:t xml:space="preserve">local </w:t>
      </w:r>
      <w:r w:rsidRPr="005B294B">
        <w:rPr>
          <w:sz w:val="22"/>
          <w:szCs w:val="22"/>
        </w:rPr>
        <w:t>per-pupil total expenditure</w:t>
      </w:r>
      <w:r>
        <w:rPr>
          <w:sz w:val="22"/>
          <w:szCs w:val="22"/>
        </w:rPr>
        <w:t xml:space="preserve"> using equation (1). </w:t>
      </w:r>
      <w:r w:rsidR="007B3C70" w:rsidRPr="007B3C70">
        <w:rPr>
          <w:sz w:val="22"/>
          <w:szCs w:val="22"/>
        </w:rPr>
        <w:t xml:space="preserve">In response to the concern that the variation in </w:t>
      </w:r>
      <w:r w:rsidR="007B3C70">
        <w:rPr>
          <w:sz w:val="22"/>
          <w:szCs w:val="22"/>
        </w:rPr>
        <w:t xml:space="preserve">the </w:t>
      </w:r>
      <w:r w:rsidR="007B3C70" w:rsidRPr="007B3C70">
        <w:rPr>
          <w:sz w:val="22"/>
          <w:szCs w:val="22"/>
        </w:rPr>
        <w:t xml:space="preserve">import exposure variable is actually </w:t>
      </w:r>
      <w:r w:rsidR="007B3C70">
        <w:rPr>
          <w:sz w:val="22"/>
          <w:szCs w:val="22"/>
        </w:rPr>
        <w:t xml:space="preserve">measuring more general declines in </w:t>
      </w:r>
      <w:r w:rsidR="007B3C70" w:rsidRPr="007B3C70">
        <w:rPr>
          <w:sz w:val="22"/>
          <w:szCs w:val="22"/>
        </w:rPr>
        <w:t xml:space="preserve">manufacturing employment </w:t>
      </w:r>
      <w:r w:rsidR="007B3C70">
        <w:rPr>
          <w:sz w:val="22"/>
          <w:szCs w:val="22"/>
        </w:rPr>
        <w:t>for reasons unrelated to trade, even i</w:t>
      </w:r>
      <w:r w:rsidRPr="005B294B">
        <w:rPr>
          <w:rFonts w:hint="eastAsia"/>
          <w:sz w:val="22"/>
          <w:szCs w:val="22"/>
        </w:rPr>
        <w:t>n the most parsimonious specification</w:t>
      </w:r>
      <w:r>
        <w:rPr>
          <w:sz w:val="22"/>
          <w:szCs w:val="22"/>
        </w:rPr>
        <w:t>,</w:t>
      </w:r>
      <w:r w:rsidRPr="005B294B">
        <w:rPr>
          <w:sz w:val="22"/>
          <w:szCs w:val="22"/>
        </w:rPr>
        <w:t xml:space="preserve"> </w:t>
      </w:r>
      <w:r w:rsidRPr="005B294B">
        <w:rPr>
          <w:rFonts w:hint="eastAsia"/>
          <w:sz w:val="22"/>
          <w:szCs w:val="22"/>
        </w:rPr>
        <w:t xml:space="preserve">I </w:t>
      </w:r>
      <w:r w:rsidR="007B3C70">
        <w:rPr>
          <w:sz w:val="22"/>
          <w:szCs w:val="22"/>
        </w:rPr>
        <w:t xml:space="preserve">control for start-of-period manufacturing employment share as well as </w:t>
      </w:r>
      <w:r w:rsidRPr="005B294B">
        <w:rPr>
          <w:rFonts w:hint="eastAsia"/>
          <w:sz w:val="22"/>
          <w:szCs w:val="22"/>
        </w:rPr>
        <w:t>year fix</w:t>
      </w:r>
      <w:r w:rsidRPr="005B294B">
        <w:rPr>
          <w:sz w:val="22"/>
          <w:szCs w:val="22"/>
        </w:rPr>
        <w:t>ed</w:t>
      </w:r>
      <w:r w:rsidRPr="005B294B">
        <w:rPr>
          <w:rFonts w:hint="eastAsia"/>
          <w:sz w:val="22"/>
          <w:szCs w:val="22"/>
        </w:rPr>
        <w:t xml:space="preserve"> effects</w:t>
      </w:r>
      <w:r w:rsidR="00EC71E9">
        <w:rPr>
          <w:sz w:val="22"/>
          <w:szCs w:val="22"/>
        </w:rPr>
        <w:t>.</w:t>
      </w:r>
      <w:r w:rsidR="007B3C70">
        <w:rPr>
          <w:sz w:val="22"/>
          <w:szCs w:val="22"/>
        </w:rPr>
        <w:t xml:space="preserve"> </w:t>
      </w:r>
      <w:r>
        <w:rPr>
          <w:sz w:val="22"/>
          <w:szCs w:val="22"/>
        </w:rPr>
        <w:t>A</w:t>
      </w:r>
      <w:r w:rsidRPr="005B294B">
        <w:rPr>
          <w:sz w:val="22"/>
          <w:szCs w:val="22"/>
        </w:rPr>
        <w:t xml:space="preserve">s can </w:t>
      </w:r>
      <w:r w:rsidR="007B3C70">
        <w:rPr>
          <w:sz w:val="22"/>
          <w:szCs w:val="22"/>
        </w:rPr>
        <w:t xml:space="preserve">be </w:t>
      </w:r>
      <w:r w:rsidRPr="005B294B">
        <w:rPr>
          <w:sz w:val="22"/>
          <w:szCs w:val="22"/>
        </w:rPr>
        <w:t>see</w:t>
      </w:r>
      <w:r w:rsidR="007B3C70">
        <w:rPr>
          <w:sz w:val="22"/>
          <w:szCs w:val="22"/>
        </w:rPr>
        <w:t>n</w:t>
      </w:r>
      <w:r w:rsidRPr="005B294B">
        <w:rPr>
          <w:sz w:val="22"/>
          <w:szCs w:val="22"/>
        </w:rPr>
        <w:t xml:space="preserve"> in column (</w:t>
      </w:r>
      <w:r w:rsidRPr="005B294B">
        <w:rPr>
          <w:rFonts w:hint="eastAsia"/>
          <w:sz w:val="22"/>
          <w:szCs w:val="22"/>
        </w:rPr>
        <w:t>1</w:t>
      </w:r>
      <w:r w:rsidRPr="005B294B">
        <w:rPr>
          <w:sz w:val="22"/>
          <w:szCs w:val="22"/>
        </w:rPr>
        <w:t>)</w:t>
      </w:r>
      <w:r w:rsidRPr="005B294B">
        <w:rPr>
          <w:rFonts w:hint="eastAsia"/>
          <w:sz w:val="22"/>
          <w:szCs w:val="22"/>
        </w:rPr>
        <w:t>, t</w:t>
      </w:r>
      <w:r w:rsidRPr="005B294B">
        <w:rPr>
          <w:sz w:val="22"/>
          <w:szCs w:val="22"/>
        </w:rPr>
        <w:t>he estimated coefficient on import exposure is</w:t>
      </w:r>
      <w:r w:rsidRPr="005B294B">
        <w:rPr>
          <w:rFonts w:hint="eastAsia"/>
          <w:sz w:val="22"/>
          <w:szCs w:val="22"/>
        </w:rPr>
        <w:t xml:space="preserve"> negative </w:t>
      </w:r>
      <w:r w:rsidRPr="005B294B">
        <w:rPr>
          <w:sz w:val="22"/>
          <w:szCs w:val="22"/>
        </w:rPr>
        <w:t>and</w:t>
      </w:r>
      <w:r w:rsidRPr="005B294B">
        <w:rPr>
          <w:rFonts w:hint="eastAsia"/>
          <w:sz w:val="22"/>
          <w:szCs w:val="22"/>
        </w:rPr>
        <w:t xml:space="preserve"> </w:t>
      </w:r>
      <w:r w:rsidRPr="005B294B">
        <w:rPr>
          <w:sz w:val="22"/>
          <w:szCs w:val="22"/>
        </w:rPr>
        <w:t>statistically</w:t>
      </w:r>
      <w:r w:rsidRPr="005B294B">
        <w:rPr>
          <w:rFonts w:hint="eastAsia"/>
          <w:sz w:val="22"/>
          <w:szCs w:val="22"/>
        </w:rPr>
        <w:t xml:space="preserve"> significant at the 0.05 level</w:t>
      </w:r>
      <w:r w:rsidRPr="005B294B">
        <w:rPr>
          <w:sz w:val="22"/>
          <w:szCs w:val="22"/>
        </w:rPr>
        <w:t xml:space="preserve">. In column (2), </w:t>
      </w:r>
      <w:r w:rsidRPr="005B294B">
        <w:rPr>
          <w:rFonts w:hint="eastAsia"/>
          <w:sz w:val="22"/>
          <w:szCs w:val="22"/>
        </w:rPr>
        <w:t xml:space="preserve">I add census division fixed effects, </w:t>
      </w:r>
      <w:r>
        <w:rPr>
          <w:sz w:val="22"/>
          <w:szCs w:val="22"/>
        </w:rPr>
        <w:t xml:space="preserve">and </w:t>
      </w:r>
      <w:r w:rsidRPr="005B294B">
        <w:rPr>
          <w:rFonts w:hint="eastAsia"/>
          <w:sz w:val="22"/>
          <w:szCs w:val="22"/>
        </w:rPr>
        <w:t xml:space="preserve">the </w:t>
      </w:r>
      <w:r>
        <w:rPr>
          <w:sz w:val="22"/>
          <w:szCs w:val="22"/>
        </w:rPr>
        <w:t xml:space="preserve">estimated </w:t>
      </w:r>
      <w:r w:rsidRPr="005B294B">
        <w:rPr>
          <w:sz w:val="22"/>
          <w:szCs w:val="22"/>
        </w:rPr>
        <w:t>coefficient</w:t>
      </w:r>
      <w:r w:rsidRPr="005B294B">
        <w:rPr>
          <w:rFonts w:hint="eastAsia"/>
          <w:sz w:val="22"/>
          <w:szCs w:val="22"/>
        </w:rPr>
        <w:t xml:space="preserve"> </w:t>
      </w:r>
      <w:r>
        <w:rPr>
          <w:sz w:val="22"/>
          <w:szCs w:val="22"/>
        </w:rPr>
        <w:t xml:space="preserve">of interest </w:t>
      </w:r>
      <w:r w:rsidRPr="005B294B">
        <w:rPr>
          <w:rFonts w:hint="eastAsia"/>
          <w:sz w:val="22"/>
          <w:szCs w:val="22"/>
        </w:rPr>
        <w:t>dec</w:t>
      </w:r>
      <w:r w:rsidR="001E10C2">
        <w:rPr>
          <w:sz w:val="22"/>
          <w:szCs w:val="22"/>
        </w:rPr>
        <w:t>r</w:t>
      </w:r>
      <w:r w:rsidRPr="005B294B">
        <w:rPr>
          <w:rFonts w:hint="eastAsia"/>
          <w:sz w:val="22"/>
          <w:szCs w:val="22"/>
        </w:rPr>
        <w:t xml:space="preserve">eases </w:t>
      </w:r>
      <w:r>
        <w:rPr>
          <w:sz w:val="22"/>
          <w:szCs w:val="22"/>
        </w:rPr>
        <w:t>slightly</w:t>
      </w:r>
      <w:r w:rsidRPr="005B294B">
        <w:rPr>
          <w:rFonts w:hint="eastAsia"/>
          <w:sz w:val="22"/>
          <w:szCs w:val="22"/>
        </w:rPr>
        <w:t xml:space="preserve"> and becomes significant at the 0.01 level. </w:t>
      </w:r>
      <w:r w:rsidRPr="005B294B">
        <w:rPr>
          <w:sz w:val="22"/>
          <w:szCs w:val="22"/>
        </w:rPr>
        <w:t>After controlling</w:t>
      </w:r>
      <w:r w:rsidRPr="005B294B">
        <w:rPr>
          <w:rFonts w:hint="eastAsia"/>
          <w:sz w:val="22"/>
          <w:szCs w:val="22"/>
        </w:rPr>
        <w:t xml:space="preserve"> for</w:t>
      </w:r>
      <w:r w:rsidRPr="005B294B">
        <w:rPr>
          <w:sz w:val="22"/>
          <w:szCs w:val="22"/>
        </w:rPr>
        <w:t xml:space="preserve"> </w:t>
      </w:r>
      <w:r w:rsidRPr="005B294B">
        <w:rPr>
          <w:rFonts w:hint="eastAsia"/>
          <w:sz w:val="22"/>
          <w:szCs w:val="22"/>
        </w:rPr>
        <w:t>CZ level demographic characteristics</w:t>
      </w:r>
      <w:r>
        <w:rPr>
          <w:sz w:val="22"/>
          <w:szCs w:val="22"/>
        </w:rPr>
        <w:t>,</w:t>
      </w:r>
      <w:r w:rsidRPr="005B294B">
        <w:rPr>
          <w:rFonts w:hint="eastAsia"/>
          <w:sz w:val="22"/>
          <w:szCs w:val="22"/>
        </w:rPr>
        <w:t xml:space="preserve"> </w:t>
      </w:r>
      <w:r w:rsidRPr="005B294B">
        <w:rPr>
          <w:sz w:val="22"/>
          <w:szCs w:val="22"/>
        </w:rPr>
        <w:t>including</w:t>
      </w:r>
      <w:r w:rsidRPr="005B294B">
        <w:rPr>
          <w:rFonts w:hint="eastAsia"/>
          <w:sz w:val="22"/>
          <w:szCs w:val="22"/>
        </w:rPr>
        <w:t xml:space="preserve"> </w:t>
      </w:r>
      <w:r w:rsidRPr="005B294B">
        <w:rPr>
          <w:sz w:val="22"/>
          <w:szCs w:val="22"/>
        </w:rPr>
        <w:t>college educated share,</w:t>
      </w:r>
      <w:r w:rsidRPr="005B294B">
        <w:rPr>
          <w:rFonts w:hint="eastAsia"/>
          <w:sz w:val="22"/>
          <w:szCs w:val="22"/>
        </w:rPr>
        <w:t xml:space="preserve"> foreign born share, </w:t>
      </w:r>
      <w:r w:rsidRPr="005B294B">
        <w:rPr>
          <w:sz w:val="22"/>
          <w:szCs w:val="22"/>
        </w:rPr>
        <w:t xml:space="preserve">share </w:t>
      </w:r>
      <w:r w:rsidRPr="005B294B">
        <w:rPr>
          <w:rFonts w:hint="eastAsia"/>
          <w:sz w:val="22"/>
          <w:szCs w:val="22"/>
        </w:rPr>
        <w:t xml:space="preserve">female among </w:t>
      </w:r>
      <w:r w:rsidR="001E10C2">
        <w:rPr>
          <w:sz w:val="22"/>
          <w:szCs w:val="22"/>
        </w:rPr>
        <w:t xml:space="preserve">the </w:t>
      </w:r>
      <w:r w:rsidRPr="005B294B">
        <w:rPr>
          <w:sz w:val="22"/>
          <w:szCs w:val="22"/>
        </w:rPr>
        <w:t xml:space="preserve">working-age </w:t>
      </w:r>
      <w:r w:rsidRPr="005B294B">
        <w:rPr>
          <w:rFonts w:hint="eastAsia"/>
          <w:sz w:val="22"/>
          <w:szCs w:val="22"/>
        </w:rPr>
        <w:t>population, share of elderly population, and share of young population,</w:t>
      </w:r>
      <w:r w:rsidRPr="005B294B">
        <w:rPr>
          <w:sz w:val="22"/>
          <w:szCs w:val="22"/>
        </w:rPr>
        <w:t xml:space="preserve"> the</w:t>
      </w:r>
      <w:r w:rsidRPr="005B294B">
        <w:rPr>
          <w:rFonts w:hint="eastAsia"/>
          <w:sz w:val="22"/>
          <w:szCs w:val="22"/>
        </w:rPr>
        <w:t xml:space="preserve"> </w:t>
      </w:r>
      <w:r>
        <w:rPr>
          <w:sz w:val="22"/>
          <w:szCs w:val="22"/>
        </w:rPr>
        <w:t xml:space="preserve">estimated coefficient of </w:t>
      </w:r>
      <w:r w:rsidRPr="005B294B">
        <w:rPr>
          <w:rFonts w:hint="eastAsia"/>
          <w:sz w:val="22"/>
          <w:szCs w:val="22"/>
        </w:rPr>
        <w:t>interest</w:t>
      </w:r>
      <w:r w:rsidRPr="005B294B">
        <w:rPr>
          <w:sz w:val="22"/>
          <w:szCs w:val="22"/>
        </w:rPr>
        <w:t xml:space="preserve"> coefficient becomes </w:t>
      </w:r>
      <w:r w:rsidR="001E10C2">
        <w:rPr>
          <w:sz w:val="22"/>
          <w:szCs w:val="22"/>
        </w:rPr>
        <w:t>even larger in magnitude</w:t>
      </w:r>
      <w:r w:rsidRPr="005B294B">
        <w:rPr>
          <w:sz w:val="22"/>
          <w:szCs w:val="22"/>
        </w:rPr>
        <w:t>.</w:t>
      </w:r>
      <w:r w:rsidRPr="005B294B">
        <w:rPr>
          <w:rFonts w:hint="eastAsia"/>
          <w:sz w:val="22"/>
          <w:szCs w:val="22"/>
        </w:rPr>
        <w:t xml:space="preserve"> </w:t>
      </w:r>
    </w:p>
    <w:p w14:paraId="74D5BDDE" w14:textId="3435A655" w:rsidR="00A20361" w:rsidRDefault="00A20361" w:rsidP="00A20361">
      <w:pPr>
        <w:spacing w:line="360" w:lineRule="auto"/>
        <w:jc w:val="both"/>
        <w:rPr>
          <w:sz w:val="22"/>
          <w:szCs w:val="22"/>
        </w:rPr>
      </w:pPr>
      <w:r>
        <w:rPr>
          <w:sz w:val="22"/>
          <w:szCs w:val="22"/>
        </w:rPr>
        <w:lastRenderedPageBreak/>
        <w:t xml:space="preserve">            </w:t>
      </w:r>
      <w:r w:rsidRPr="005B294B">
        <w:rPr>
          <w:sz w:val="22"/>
          <w:szCs w:val="22"/>
        </w:rPr>
        <w:t>In column (</w:t>
      </w:r>
      <w:r>
        <w:rPr>
          <w:sz w:val="22"/>
          <w:szCs w:val="22"/>
        </w:rPr>
        <w:t>3</w:t>
      </w:r>
      <w:r w:rsidRPr="005B294B">
        <w:rPr>
          <w:sz w:val="22"/>
          <w:szCs w:val="22"/>
        </w:rPr>
        <w:t xml:space="preserve">), I </w:t>
      </w:r>
      <w:r>
        <w:rPr>
          <w:sz w:val="22"/>
          <w:szCs w:val="22"/>
        </w:rPr>
        <w:t>add</w:t>
      </w:r>
      <w:r w:rsidRPr="005B294B">
        <w:rPr>
          <w:sz w:val="22"/>
          <w:szCs w:val="22"/>
        </w:rPr>
        <w:t xml:space="preserve"> the initial</w:t>
      </w:r>
      <w:r w:rsidRPr="005B294B">
        <w:rPr>
          <w:rFonts w:hint="eastAsia"/>
          <w:sz w:val="22"/>
          <w:szCs w:val="22"/>
        </w:rPr>
        <w:t xml:space="preserve"> share of different races</w:t>
      </w:r>
      <w:r>
        <w:rPr>
          <w:sz w:val="22"/>
          <w:szCs w:val="22"/>
        </w:rPr>
        <w:t>, educational levels, the</w:t>
      </w:r>
      <w:r w:rsidRPr="005B294B">
        <w:rPr>
          <w:sz w:val="22"/>
          <w:szCs w:val="22"/>
        </w:rPr>
        <w:t xml:space="preserve"> estimated coefficient of interest does not change much</w:t>
      </w:r>
      <w:r w:rsidRPr="005B294B">
        <w:rPr>
          <w:rFonts w:hint="eastAsia"/>
          <w:sz w:val="22"/>
          <w:szCs w:val="22"/>
        </w:rPr>
        <w:t xml:space="preserve">. </w:t>
      </w:r>
      <w:r w:rsidR="001E10C2">
        <w:rPr>
          <w:sz w:val="22"/>
          <w:szCs w:val="22"/>
        </w:rPr>
        <w:t>Interestingly, c</w:t>
      </w:r>
      <w:r w:rsidRPr="005B294B">
        <w:rPr>
          <w:rFonts w:hint="eastAsia"/>
          <w:sz w:val="22"/>
          <w:szCs w:val="22"/>
        </w:rPr>
        <w:t>olumn (</w:t>
      </w:r>
      <w:r>
        <w:rPr>
          <w:sz w:val="22"/>
          <w:szCs w:val="22"/>
        </w:rPr>
        <w:t>3</w:t>
      </w:r>
      <w:r w:rsidRPr="005B294B">
        <w:rPr>
          <w:rFonts w:hint="eastAsia"/>
          <w:sz w:val="22"/>
          <w:szCs w:val="22"/>
        </w:rPr>
        <w:t xml:space="preserve">) </w:t>
      </w:r>
      <w:r w:rsidRPr="005B294B">
        <w:rPr>
          <w:sz w:val="22"/>
          <w:szCs w:val="22"/>
        </w:rPr>
        <w:t>also shows</w:t>
      </w:r>
      <w:r w:rsidRPr="005B294B">
        <w:rPr>
          <w:rFonts w:hint="eastAsia"/>
          <w:sz w:val="22"/>
          <w:szCs w:val="22"/>
        </w:rPr>
        <w:t xml:space="preserve"> that </w:t>
      </w:r>
      <w:r w:rsidR="001E10C2">
        <w:rPr>
          <w:sz w:val="22"/>
          <w:szCs w:val="22"/>
        </w:rPr>
        <w:t>more</w:t>
      </w:r>
      <w:r w:rsidR="001E10C2" w:rsidRPr="005B294B">
        <w:rPr>
          <w:rFonts w:hint="eastAsia"/>
          <w:sz w:val="22"/>
          <w:szCs w:val="22"/>
        </w:rPr>
        <w:t xml:space="preserve"> </w:t>
      </w:r>
      <w:r w:rsidRPr="005B294B">
        <w:rPr>
          <w:rFonts w:hint="eastAsia"/>
          <w:sz w:val="22"/>
          <w:szCs w:val="22"/>
        </w:rPr>
        <w:t xml:space="preserve">educated and younger </w:t>
      </w:r>
      <w:r w:rsidR="001E10C2">
        <w:rPr>
          <w:sz w:val="22"/>
          <w:szCs w:val="22"/>
        </w:rPr>
        <w:t xml:space="preserve">commuting zone </w:t>
      </w:r>
      <w:r w:rsidRPr="005B294B">
        <w:rPr>
          <w:rFonts w:hint="eastAsia"/>
          <w:sz w:val="22"/>
          <w:szCs w:val="22"/>
        </w:rPr>
        <w:t>population</w:t>
      </w:r>
      <w:r w:rsidR="001E10C2">
        <w:rPr>
          <w:sz w:val="22"/>
          <w:szCs w:val="22"/>
        </w:rPr>
        <w:t>s</w:t>
      </w:r>
      <w:r w:rsidRPr="005B294B">
        <w:rPr>
          <w:rFonts w:hint="eastAsia"/>
          <w:sz w:val="22"/>
          <w:szCs w:val="22"/>
        </w:rPr>
        <w:t xml:space="preserve"> are associated with </w:t>
      </w:r>
      <w:r w:rsidRPr="005B294B">
        <w:rPr>
          <w:sz w:val="22"/>
          <w:szCs w:val="22"/>
        </w:rPr>
        <w:t>increased expenditures</w:t>
      </w:r>
      <w:r w:rsidR="001E10C2">
        <w:rPr>
          <w:sz w:val="22"/>
          <w:szCs w:val="22"/>
        </w:rPr>
        <w:t xml:space="preserve"> on public schools</w:t>
      </w:r>
      <w:r w:rsidRPr="005B294B">
        <w:rPr>
          <w:sz w:val="22"/>
          <w:szCs w:val="22"/>
        </w:rPr>
        <w:t>.</w:t>
      </w:r>
      <w:r w:rsidRPr="005B294B">
        <w:rPr>
          <w:rFonts w:hint="eastAsia"/>
          <w:sz w:val="22"/>
          <w:szCs w:val="22"/>
        </w:rPr>
        <w:t xml:space="preserve"> In column (</w:t>
      </w:r>
      <w:r>
        <w:rPr>
          <w:sz w:val="22"/>
          <w:szCs w:val="22"/>
        </w:rPr>
        <w:t>4</w:t>
      </w:r>
      <w:r w:rsidRPr="005B294B">
        <w:rPr>
          <w:rFonts w:hint="eastAsia"/>
          <w:sz w:val="22"/>
          <w:szCs w:val="22"/>
        </w:rPr>
        <w:t>) I further control</w:t>
      </w:r>
      <w:r w:rsidRPr="005B294B">
        <w:rPr>
          <w:sz w:val="22"/>
          <w:szCs w:val="22"/>
        </w:rPr>
        <w:t xml:space="preserve"> for</w:t>
      </w:r>
      <w:r w:rsidRPr="005B294B">
        <w:rPr>
          <w:rFonts w:hint="eastAsia"/>
          <w:sz w:val="22"/>
          <w:szCs w:val="22"/>
        </w:rPr>
        <w:t xml:space="preserve"> two indicators of local economic condition</w:t>
      </w:r>
      <w:r w:rsidR="001E10C2">
        <w:rPr>
          <w:sz w:val="22"/>
          <w:szCs w:val="22"/>
        </w:rPr>
        <w:t>s</w:t>
      </w:r>
      <w:r w:rsidRPr="005B294B">
        <w:rPr>
          <w:rFonts w:hint="eastAsia"/>
          <w:sz w:val="22"/>
          <w:szCs w:val="22"/>
        </w:rPr>
        <w:t>:</w:t>
      </w:r>
      <w:r w:rsidRPr="005B294B">
        <w:rPr>
          <w:sz w:val="22"/>
          <w:szCs w:val="22"/>
        </w:rPr>
        <w:t xml:space="preserve"> the</w:t>
      </w:r>
      <w:r w:rsidRPr="005B294B">
        <w:rPr>
          <w:rFonts w:hint="eastAsia"/>
          <w:sz w:val="22"/>
          <w:szCs w:val="22"/>
        </w:rPr>
        <w:t xml:space="preserve"> start-of-period</w:t>
      </w:r>
      <w:r w:rsidRPr="005B294B">
        <w:rPr>
          <w:sz w:val="22"/>
          <w:szCs w:val="22"/>
        </w:rPr>
        <w:t xml:space="preserve"> </w:t>
      </w:r>
      <w:r w:rsidRPr="005B294B">
        <w:rPr>
          <w:rFonts w:hint="eastAsia"/>
          <w:sz w:val="22"/>
          <w:szCs w:val="22"/>
        </w:rPr>
        <w:t xml:space="preserve">share of </w:t>
      </w:r>
      <w:r w:rsidRPr="005B294B">
        <w:rPr>
          <w:sz w:val="22"/>
          <w:szCs w:val="22"/>
        </w:rPr>
        <w:t xml:space="preserve">the </w:t>
      </w:r>
      <w:r w:rsidRPr="005B294B">
        <w:rPr>
          <w:rFonts w:hint="eastAsia"/>
          <w:sz w:val="22"/>
          <w:szCs w:val="22"/>
        </w:rPr>
        <w:t xml:space="preserve">population </w:t>
      </w:r>
      <w:r w:rsidRPr="005B294B">
        <w:rPr>
          <w:sz w:val="22"/>
          <w:szCs w:val="22"/>
        </w:rPr>
        <w:t xml:space="preserve">with incomes </w:t>
      </w:r>
      <w:r w:rsidRPr="005B294B">
        <w:rPr>
          <w:rFonts w:hint="eastAsia"/>
          <w:sz w:val="22"/>
          <w:szCs w:val="22"/>
        </w:rPr>
        <w:t xml:space="preserve">below the 1980 poverty line and the start-of-period median family income. </w:t>
      </w:r>
      <w:r w:rsidR="0043497B">
        <w:rPr>
          <w:sz w:val="22"/>
          <w:szCs w:val="22"/>
        </w:rPr>
        <w:t>T</w:t>
      </w:r>
      <w:r w:rsidRPr="005B294B">
        <w:rPr>
          <w:rFonts w:hint="eastAsia"/>
          <w:sz w:val="22"/>
          <w:szCs w:val="22"/>
        </w:rPr>
        <w:t xml:space="preserve">he </w:t>
      </w:r>
      <w:r>
        <w:rPr>
          <w:sz w:val="22"/>
          <w:szCs w:val="22"/>
        </w:rPr>
        <w:t xml:space="preserve">estimated </w:t>
      </w:r>
      <w:r w:rsidRPr="005B294B">
        <w:rPr>
          <w:rFonts w:hint="eastAsia"/>
          <w:sz w:val="22"/>
          <w:szCs w:val="22"/>
        </w:rPr>
        <w:t xml:space="preserve">coefficient </w:t>
      </w:r>
      <w:r>
        <w:rPr>
          <w:sz w:val="22"/>
          <w:szCs w:val="22"/>
        </w:rPr>
        <w:t xml:space="preserve">of interest </w:t>
      </w:r>
      <w:r w:rsidRPr="005B294B">
        <w:rPr>
          <w:rFonts w:hint="eastAsia"/>
          <w:sz w:val="22"/>
          <w:szCs w:val="22"/>
        </w:rPr>
        <w:t xml:space="preserve">decreases </w:t>
      </w:r>
      <w:r w:rsidR="001E10C2">
        <w:rPr>
          <w:sz w:val="22"/>
          <w:szCs w:val="22"/>
        </w:rPr>
        <w:t xml:space="preserve">in magnitude even </w:t>
      </w:r>
      <w:r w:rsidRPr="005B294B">
        <w:rPr>
          <w:rFonts w:hint="eastAsia"/>
          <w:sz w:val="22"/>
          <w:szCs w:val="22"/>
        </w:rPr>
        <w:t>further. The final result in column (</w:t>
      </w:r>
      <w:r>
        <w:rPr>
          <w:sz w:val="22"/>
          <w:szCs w:val="22"/>
        </w:rPr>
        <w:t>4)</w:t>
      </w:r>
      <w:r w:rsidRPr="005B294B">
        <w:rPr>
          <w:rFonts w:hint="eastAsia"/>
          <w:sz w:val="22"/>
          <w:szCs w:val="22"/>
        </w:rPr>
        <w:t xml:space="preserve"> suggests that </w:t>
      </w:r>
      <w:r w:rsidRPr="005B294B">
        <w:rPr>
          <w:sz w:val="22"/>
          <w:szCs w:val="22"/>
        </w:rPr>
        <w:t>a $1</w:t>
      </w:r>
      <w:r>
        <w:rPr>
          <w:sz w:val="22"/>
          <w:szCs w:val="22"/>
        </w:rPr>
        <w:t>,</w:t>
      </w:r>
      <w:r w:rsidRPr="005B294B">
        <w:rPr>
          <w:sz w:val="22"/>
          <w:szCs w:val="22"/>
        </w:rPr>
        <w:t>000 decadal rise in a CZ’s import exposure per worker reduce</w:t>
      </w:r>
      <w:r>
        <w:rPr>
          <w:sz w:val="22"/>
          <w:szCs w:val="22"/>
        </w:rPr>
        <w:t>s</w:t>
      </w:r>
      <w:r w:rsidRPr="005B294B">
        <w:rPr>
          <w:sz w:val="22"/>
          <w:szCs w:val="22"/>
        </w:rPr>
        <w:t xml:space="preserve"> per-pupil expenditure</w:t>
      </w:r>
      <w:r>
        <w:rPr>
          <w:sz w:val="22"/>
          <w:szCs w:val="22"/>
        </w:rPr>
        <w:t>s</w:t>
      </w:r>
      <w:r w:rsidRPr="005B294B">
        <w:rPr>
          <w:sz w:val="22"/>
          <w:szCs w:val="22"/>
        </w:rPr>
        <w:t xml:space="preserve"> </w:t>
      </w:r>
      <w:r w:rsidR="001E10C2">
        <w:rPr>
          <w:sz w:val="22"/>
          <w:szCs w:val="22"/>
        </w:rPr>
        <w:t xml:space="preserve">in school districts in that commuting zone </w:t>
      </w:r>
      <w:r w:rsidRPr="005B294B">
        <w:rPr>
          <w:sz w:val="22"/>
          <w:szCs w:val="22"/>
        </w:rPr>
        <w:t>by</w:t>
      </w:r>
      <w:r w:rsidRPr="005B294B">
        <w:rPr>
          <w:rFonts w:hint="eastAsia"/>
          <w:sz w:val="22"/>
          <w:szCs w:val="22"/>
        </w:rPr>
        <w:t xml:space="preserve"> $118</w:t>
      </w:r>
      <w:r>
        <w:rPr>
          <w:sz w:val="22"/>
          <w:szCs w:val="22"/>
        </w:rPr>
        <w:t>.</w:t>
      </w:r>
      <w:r w:rsidR="007F29FD">
        <w:rPr>
          <w:rStyle w:val="FootnoteReference"/>
          <w:sz w:val="22"/>
          <w:szCs w:val="22"/>
        </w:rPr>
        <w:footnoteReference w:id="17"/>
      </w:r>
    </w:p>
    <w:p w14:paraId="46E1E443" w14:textId="2E2FC976" w:rsidR="00A20361" w:rsidRPr="005B294B" w:rsidRDefault="00A20361" w:rsidP="00A20361">
      <w:pPr>
        <w:spacing w:line="360" w:lineRule="auto"/>
        <w:jc w:val="both"/>
        <w:rPr>
          <w:sz w:val="22"/>
          <w:szCs w:val="22"/>
        </w:rPr>
      </w:pPr>
      <w:r>
        <w:rPr>
          <w:sz w:val="22"/>
          <w:szCs w:val="22"/>
        </w:rPr>
        <w:t xml:space="preserve">            In column (5), </w:t>
      </w:r>
      <w:r w:rsidRPr="005B294B">
        <w:rPr>
          <w:sz w:val="22"/>
          <w:szCs w:val="22"/>
        </w:rPr>
        <w:t>I employ the instrument variable</w:t>
      </w:r>
      <w:r w:rsidR="001E10C2">
        <w:rPr>
          <w:sz w:val="22"/>
          <w:szCs w:val="22"/>
        </w:rPr>
        <w:t>s technique</w:t>
      </w:r>
      <w:r w:rsidRPr="005B294B">
        <w:rPr>
          <w:sz w:val="22"/>
          <w:szCs w:val="22"/>
        </w:rPr>
        <w:t xml:space="preserve"> described above</w:t>
      </w:r>
      <w:r w:rsidR="001E10C2">
        <w:rPr>
          <w:sz w:val="22"/>
          <w:szCs w:val="22"/>
        </w:rPr>
        <w:t>.</w:t>
      </w:r>
      <w:r>
        <w:rPr>
          <w:sz w:val="22"/>
          <w:szCs w:val="22"/>
        </w:rPr>
        <w:t xml:space="preserve"> </w:t>
      </w:r>
      <w:r w:rsidRPr="005B294B">
        <w:rPr>
          <w:sz w:val="22"/>
          <w:szCs w:val="22"/>
        </w:rPr>
        <w:t xml:space="preserve">The first stage F-statistic </w:t>
      </w:r>
      <w:r w:rsidRPr="005B294B">
        <w:rPr>
          <w:rFonts w:hint="eastAsia"/>
          <w:sz w:val="22"/>
          <w:szCs w:val="22"/>
        </w:rPr>
        <w:t>is greater than 10</w:t>
      </w:r>
      <w:r>
        <w:rPr>
          <w:sz w:val="22"/>
          <w:szCs w:val="22"/>
        </w:rPr>
        <w:t xml:space="preserve"> suggesting that</w:t>
      </w:r>
      <w:r w:rsidRPr="005B294B">
        <w:rPr>
          <w:sz w:val="22"/>
          <w:szCs w:val="22"/>
        </w:rPr>
        <w:t xml:space="preserve"> the instrument variable is a strong predictor of </w:t>
      </w:r>
      <w:r>
        <w:rPr>
          <w:sz w:val="22"/>
          <w:szCs w:val="22"/>
        </w:rPr>
        <w:t xml:space="preserve">the </w:t>
      </w:r>
      <w:r w:rsidRPr="005B294B">
        <w:rPr>
          <w:sz w:val="22"/>
          <w:szCs w:val="22"/>
        </w:rPr>
        <w:t>variable</w:t>
      </w:r>
      <w:r>
        <w:rPr>
          <w:sz w:val="22"/>
          <w:szCs w:val="22"/>
        </w:rPr>
        <w:t xml:space="preserve"> of interest</w:t>
      </w:r>
      <w:r w:rsidRPr="005B294B">
        <w:rPr>
          <w:sz w:val="22"/>
          <w:szCs w:val="22"/>
        </w:rPr>
        <w:t xml:space="preserve">. </w:t>
      </w:r>
      <w:r>
        <w:rPr>
          <w:sz w:val="22"/>
          <w:szCs w:val="22"/>
        </w:rPr>
        <w:t>As predicted, t</w:t>
      </w:r>
      <w:r w:rsidRPr="005B294B">
        <w:rPr>
          <w:sz w:val="22"/>
          <w:szCs w:val="22"/>
        </w:rPr>
        <w:t>he 2SLS estimate of our coefficient</w:t>
      </w:r>
      <w:r>
        <w:rPr>
          <w:sz w:val="22"/>
          <w:szCs w:val="22"/>
        </w:rPr>
        <w:t xml:space="preserve"> of interest is</w:t>
      </w:r>
      <w:r w:rsidRPr="005B294B">
        <w:rPr>
          <w:sz w:val="22"/>
          <w:szCs w:val="22"/>
        </w:rPr>
        <w:t xml:space="preserve"> </w:t>
      </w:r>
      <w:r w:rsidR="001E10C2">
        <w:rPr>
          <w:sz w:val="22"/>
          <w:szCs w:val="22"/>
        </w:rPr>
        <w:t>larger in magnitude</w:t>
      </w:r>
      <w:r w:rsidR="001E10C2" w:rsidRPr="005B294B">
        <w:rPr>
          <w:sz w:val="22"/>
          <w:szCs w:val="22"/>
        </w:rPr>
        <w:t xml:space="preserve"> </w:t>
      </w:r>
      <w:r w:rsidRPr="005B294B">
        <w:rPr>
          <w:sz w:val="22"/>
          <w:szCs w:val="22"/>
        </w:rPr>
        <w:t xml:space="preserve">than the OLS </w:t>
      </w:r>
      <w:r>
        <w:rPr>
          <w:sz w:val="22"/>
          <w:szCs w:val="22"/>
        </w:rPr>
        <w:t>estimate</w:t>
      </w:r>
      <w:r w:rsidRPr="005B294B">
        <w:rPr>
          <w:sz w:val="22"/>
          <w:szCs w:val="22"/>
        </w:rPr>
        <w:t xml:space="preserve"> suggesting that</w:t>
      </w:r>
      <w:r w:rsidRPr="005B294B">
        <w:rPr>
          <w:rFonts w:hint="eastAsia"/>
          <w:sz w:val="22"/>
          <w:szCs w:val="22"/>
        </w:rPr>
        <w:t xml:space="preserve"> in US, the rising imports in some industries are endogenously caused by demand shocks</w:t>
      </w:r>
      <w:r w:rsidRPr="005B294B">
        <w:rPr>
          <w:sz w:val="22"/>
          <w:szCs w:val="22"/>
        </w:rPr>
        <w:t xml:space="preserve">. Column (5) in Table </w:t>
      </w:r>
      <w:r>
        <w:rPr>
          <w:sz w:val="22"/>
          <w:szCs w:val="22"/>
        </w:rPr>
        <w:t>3</w:t>
      </w:r>
      <w:r w:rsidRPr="005B294B">
        <w:rPr>
          <w:sz w:val="22"/>
          <w:szCs w:val="22"/>
        </w:rPr>
        <w:t xml:space="preserve"> suggest</w:t>
      </w:r>
      <w:r>
        <w:rPr>
          <w:sz w:val="22"/>
          <w:szCs w:val="22"/>
        </w:rPr>
        <w:t>s</w:t>
      </w:r>
      <w:r w:rsidRPr="005B294B">
        <w:rPr>
          <w:sz w:val="22"/>
          <w:szCs w:val="22"/>
        </w:rPr>
        <w:t xml:space="preserve"> that a $1</w:t>
      </w:r>
      <w:r>
        <w:rPr>
          <w:sz w:val="22"/>
          <w:szCs w:val="22"/>
        </w:rPr>
        <w:t>,</w:t>
      </w:r>
      <w:r w:rsidRPr="005B294B">
        <w:rPr>
          <w:sz w:val="22"/>
          <w:szCs w:val="22"/>
        </w:rPr>
        <w:t>000 rise in a CZ’s import exposure per worker reduces per-pupil expenditure by $26</w:t>
      </w:r>
      <w:r w:rsidRPr="005B294B">
        <w:rPr>
          <w:rFonts w:hint="eastAsia"/>
          <w:sz w:val="22"/>
          <w:szCs w:val="22"/>
        </w:rPr>
        <w:t>2</w:t>
      </w:r>
      <w:r>
        <w:rPr>
          <w:sz w:val="22"/>
          <w:szCs w:val="22"/>
        </w:rPr>
        <w:t>, around 2.56% of the average per-pupil expenditures during my sample period.</w:t>
      </w:r>
    </w:p>
    <w:p w14:paraId="11964FB0" w14:textId="00170B81" w:rsidR="00B75E69" w:rsidRDefault="00A20361" w:rsidP="00A20361">
      <w:pPr>
        <w:spacing w:line="360" w:lineRule="auto"/>
        <w:jc w:val="both"/>
        <w:rPr>
          <w:sz w:val="22"/>
          <w:szCs w:val="22"/>
        </w:rPr>
      </w:pPr>
      <w:r>
        <w:rPr>
          <w:sz w:val="22"/>
          <w:szCs w:val="22"/>
        </w:rPr>
        <w:t xml:space="preserve">            </w:t>
      </w:r>
      <w:r w:rsidR="00BA158E">
        <w:rPr>
          <w:sz w:val="22"/>
          <w:szCs w:val="22"/>
        </w:rPr>
        <w:t>The</w:t>
      </w:r>
      <w:r w:rsidR="001E10C2">
        <w:rPr>
          <w:sz w:val="22"/>
          <w:szCs w:val="22"/>
        </w:rPr>
        <w:t>se</w:t>
      </w:r>
      <w:r w:rsidR="00BA158E">
        <w:rPr>
          <w:sz w:val="22"/>
          <w:szCs w:val="22"/>
        </w:rPr>
        <w:t xml:space="preserve"> change</w:t>
      </w:r>
      <w:r w:rsidR="001E10C2">
        <w:rPr>
          <w:sz w:val="22"/>
          <w:szCs w:val="22"/>
        </w:rPr>
        <w:t>s</w:t>
      </w:r>
      <w:r w:rsidR="00BA158E">
        <w:rPr>
          <w:sz w:val="22"/>
          <w:szCs w:val="22"/>
        </w:rPr>
        <w:t xml:space="preserve"> in expenditure</w:t>
      </w:r>
      <w:r w:rsidR="001E10C2">
        <w:rPr>
          <w:sz w:val="22"/>
          <w:szCs w:val="22"/>
        </w:rPr>
        <w:t>s</w:t>
      </w:r>
      <w:r w:rsidR="00BA158E">
        <w:rPr>
          <w:sz w:val="22"/>
          <w:szCs w:val="22"/>
        </w:rPr>
        <w:t xml:space="preserve"> might be </w:t>
      </w:r>
      <w:r w:rsidR="001E10C2">
        <w:rPr>
          <w:sz w:val="22"/>
          <w:szCs w:val="22"/>
        </w:rPr>
        <w:t>reflecting</w:t>
      </w:r>
      <w:r w:rsidR="00B75E69">
        <w:rPr>
          <w:sz w:val="22"/>
          <w:szCs w:val="22"/>
        </w:rPr>
        <w:t xml:space="preserve"> </w:t>
      </w:r>
      <w:r w:rsidR="001E10C2">
        <w:rPr>
          <w:sz w:val="22"/>
          <w:szCs w:val="22"/>
        </w:rPr>
        <w:t xml:space="preserve">changes in revenues school districts receive from different sources. </w:t>
      </w:r>
      <w:r w:rsidR="00BA158E">
        <w:rPr>
          <w:sz w:val="22"/>
          <w:szCs w:val="22"/>
        </w:rPr>
        <w:t xml:space="preserve"> After</w:t>
      </w:r>
      <w:r w:rsidR="001E10C2">
        <w:rPr>
          <w:sz w:val="22"/>
          <w:szCs w:val="22"/>
        </w:rPr>
        <w:t xml:space="preserve"> </w:t>
      </w:r>
      <w:r w:rsidR="00BA158E">
        <w:rPr>
          <w:sz w:val="22"/>
          <w:szCs w:val="22"/>
        </w:rPr>
        <w:t xml:space="preserve">all, </w:t>
      </w:r>
      <w:r w:rsidR="00BA158E" w:rsidRPr="005B294B">
        <w:rPr>
          <w:rFonts w:hint="eastAsia"/>
          <w:sz w:val="22"/>
          <w:szCs w:val="22"/>
        </w:rPr>
        <w:t xml:space="preserve">for each school district, the </w:t>
      </w:r>
      <w:r w:rsidR="00BA158E" w:rsidRPr="005B294B">
        <w:rPr>
          <w:sz w:val="22"/>
          <w:szCs w:val="22"/>
        </w:rPr>
        <w:t>total</w:t>
      </w:r>
      <w:r w:rsidR="00BA158E" w:rsidRPr="005B294B">
        <w:rPr>
          <w:rFonts w:hint="eastAsia"/>
          <w:sz w:val="22"/>
          <w:szCs w:val="22"/>
        </w:rPr>
        <w:t xml:space="preserve"> revenue does not always equal total expenditure</w:t>
      </w:r>
      <w:r w:rsidR="00BA158E">
        <w:rPr>
          <w:sz w:val="22"/>
          <w:szCs w:val="22"/>
        </w:rPr>
        <w:t xml:space="preserve">s. </w:t>
      </w:r>
      <w:r>
        <w:rPr>
          <w:sz w:val="22"/>
          <w:szCs w:val="22"/>
        </w:rPr>
        <w:t>There are two reasons for this:</w:t>
      </w:r>
      <w:r w:rsidRPr="005B294B">
        <w:rPr>
          <w:rFonts w:hint="eastAsia"/>
          <w:sz w:val="22"/>
          <w:szCs w:val="22"/>
        </w:rPr>
        <w:t xml:space="preserve"> (1) total revenue does not include </w:t>
      </w:r>
      <w:r w:rsidRPr="005B294B">
        <w:rPr>
          <w:sz w:val="22"/>
          <w:szCs w:val="22"/>
        </w:rPr>
        <w:t>bond sales or the sale of property or equipmen</w:t>
      </w:r>
      <w:r w:rsidRPr="005B294B">
        <w:rPr>
          <w:rFonts w:hint="eastAsia"/>
          <w:sz w:val="22"/>
          <w:szCs w:val="22"/>
        </w:rPr>
        <w:t xml:space="preserve">t, </w:t>
      </w:r>
      <w:r w:rsidR="00864119">
        <w:rPr>
          <w:sz w:val="22"/>
          <w:szCs w:val="22"/>
        </w:rPr>
        <w:t>in which case</w:t>
      </w:r>
      <w:r w:rsidRPr="005B294B">
        <w:rPr>
          <w:rFonts w:hint="eastAsia"/>
          <w:sz w:val="22"/>
          <w:szCs w:val="22"/>
        </w:rPr>
        <w:t xml:space="preserve"> total expenditure</w:t>
      </w:r>
      <w:r w:rsidR="00864119">
        <w:rPr>
          <w:sz w:val="22"/>
          <w:szCs w:val="22"/>
        </w:rPr>
        <w:t>s</w:t>
      </w:r>
      <w:r w:rsidRPr="005B294B">
        <w:rPr>
          <w:rFonts w:hint="eastAsia"/>
          <w:sz w:val="22"/>
          <w:szCs w:val="22"/>
        </w:rPr>
        <w:t xml:space="preserve"> </w:t>
      </w:r>
      <w:r w:rsidR="00864119">
        <w:rPr>
          <w:sz w:val="22"/>
          <w:szCs w:val="22"/>
        </w:rPr>
        <w:t>could</w:t>
      </w:r>
      <w:r w:rsidR="00864119" w:rsidRPr="005B294B">
        <w:rPr>
          <w:rFonts w:hint="eastAsia"/>
          <w:sz w:val="22"/>
          <w:szCs w:val="22"/>
        </w:rPr>
        <w:t xml:space="preserve"> </w:t>
      </w:r>
      <w:r w:rsidRPr="005B294B">
        <w:rPr>
          <w:rFonts w:hint="eastAsia"/>
          <w:sz w:val="22"/>
          <w:szCs w:val="22"/>
        </w:rPr>
        <w:t xml:space="preserve">exceed total revenue, </w:t>
      </w:r>
      <w:r w:rsidR="00864119">
        <w:rPr>
          <w:sz w:val="22"/>
          <w:szCs w:val="22"/>
        </w:rPr>
        <w:t xml:space="preserve">and </w:t>
      </w:r>
      <w:r w:rsidRPr="005B294B">
        <w:rPr>
          <w:rFonts w:hint="eastAsia"/>
          <w:sz w:val="22"/>
          <w:szCs w:val="22"/>
        </w:rPr>
        <w:t xml:space="preserve">(2) public schools can </w:t>
      </w:r>
      <w:r w:rsidR="00864119">
        <w:rPr>
          <w:sz w:val="22"/>
          <w:szCs w:val="22"/>
        </w:rPr>
        <w:t xml:space="preserve">cut the </w:t>
      </w:r>
      <w:r w:rsidRPr="005B294B">
        <w:rPr>
          <w:rFonts w:hint="eastAsia"/>
          <w:sz w:val="22"/>
          <w:szCs w:val="22"/>
        </w:rPr>
        <w:t>service</w:t>
      </w:r>
      <w:r w:rsidR="00864119">
        <w:rPr>
          <w:sz w:val="22"/>
          <w:szCs w:val="22"/>
        </w:rPr>
        <w:t>s they provide students in which case</w:t>
      </w:r>
      <w:r w:rsidRPr="005B294B">
        <w:rPr>
          <w:rFonts w:hint="eastAsia"/>
          <w:sz w:val="22"/>
          <w:szCs w:val="22"/>
        </w:rPr>
        <w:t xml:space="preserve"> total revenue </w:t>
      </w:r>
      <w:r w:rsidR="00864119">
        <w:rPr>
          <w:sz w:val="22"/>
          <w:szCs w:val="22"/>
        </w:rPr>
        <w:t>would</w:t>
      </w:r>
      <w:r w:rsidR="00864119" w:rsidRPr="005B294B">
        <w:rPr>
          <w:rFonts w:hint="eastAsia"/>
          <w:sz w:val="22"/>
          <w:szCs w:val="22"/>
        </w:rPr>
        <w:t xml:space="preserve"> </w:t>
      </w:r>
      <w:r w:rsidRPr="005B294B">
        <w:rPr>
          <w:rFonts w:hint="eastAsia"/>
          <w:sz w:val="22"/>
          <w:szCs w:val="22"/>
        </w:rPr>
        <w:t>exceed total expenditure.</w:t>
      </w:r>
      <w:r>
        <w:rPr>
          <w:sz w:val="22"/>
          <w:szCs w:val="22"/>
        </w:rPr>
        <w:t xml:space="preserve"> </w:t>
      </w:r>
      <w:r w:rsidR="008B4421">
        <w:rPr>
          <w:sz w:val="22"/>
          <w:szCs w:val="22"/>
        </w:rPr>
        <w:t>When</w:t>
      </w:r>
      <w:r w:rsidRPr="005B294B">
        <w:rPr>
          <w:rFonts w:hint="eastAsia"/>
          <w:sz w:val="22"/>
          <w:szCs w:val="22"/>
        </w:rPr>
        <w:t xml:space="preserve"> look</w:t>
      </w:r>
      <w:r w:rsidR="008B4421">
        <w:rPr>
          <w:sz w:val="22"/>
          <w:szCs w:val="22"/>
        </w:rPr>
        <w:t>ing</w:t>
      </w:r>
      <w:r w:rsidRPr="005B294B">
        <w:rPr>
          <w:rFonts w:hint="eastAsia"/>
          <w:sz w:val="22"/>
          <w:szCs w:val="22"/>
        </w:rPr>
        <w:t xml:space="preserve"> at the effect of import </w:t>
      </w:r>
      <w:r w:rsidRPr="005B294B">
        <w:rPr>
          <w:sz w:val="22"/>
          <w:szCs w:val="22"/>
        </w:rPr>
        <w:t>competition</w:t>
      </w:r>
      <w:r w:rsidRPr="005B294B">
        <w:rPr>
          <w:rFonts w:hint="eastAsia"/>
          <w:sz w:val="22"/>
          <w:szCs w:val="22"/>
        </w:rPr>
        <w:t xml:space="preserve"> on per-pupil </w:t>
      </w:r>
      <w:r w:rsidRPr="005B294B">
        <w:rPr>
          <w:sz w:val="22"/>
          <w:szCs w:val="22"/>
        </w:rPr>
        <w:t>total</w:t>
      </w:r>
      <w:r w:rsidRPr="005B294B">
        <w:rPr>
          <w:rFonts w:hint="eastAsia"/>
          <w:sz w:val="22"/>
          <w:szCs w:val="22"/>
        </w:rPr>
        <w:t xml:space="preserve"> revenue, </w:t>
      </w:r>
      <w:r w:rsidR="00BB5A53">
        <w:rPr>
          <w:sz w:val="22"/>
          <w:szCs w:val="22"/>
        </w:rPr>
        <w:t>results are</w:t>
      </w:r>
      <w:r w:rsidRPr="005B294B">
        <w:rPr>
          <w:rFonts w:hint="eastAsia"/>
          <w:sz w:val="22"/>
          <w:szCs w:val="22"/>
        </w:rPr>
        <w:t xml:space="preserve"> similar </w:t>
      </w:r>
      <w:r w:rsidR="00BB5A53">
        <w:rPr>
          <w:sz w:val="22"/>
          <w:szCs w:val="22"/>
        </w:rPr>
        <w:t>to those reported in</w:t>
      </w:r>
      <w:r w:rsidRPr="005B294B">
        <w:rPr>
          <w:rFonts w:hint="eastAsia"/>
          <w:sz w:val="22"/>
          <w:szCs w:val="22"/>
        </w:rPr>
        <w:t xml:space="preserve"> Table</w:t>
      </w:r>
      <w:r>
        <w:rPr>
          <w:sz w:val="22"/>
          <w:szCs w:val="22"/>
        </w:rPr>
        <w:t xml:space="preserve"> 3</w:t>
      </w:r>
      <w:r w:rsidRPr="005B294B">
        <w:rPr>
          <w:rFonts w:hint="eastAsia"/>
          <w:sz w:val="22"/>
          <w:szCs w:val="22"/>
        </w:rPr>
        <w:t xml:space="preserve">. </w:t>
      </w:r>
      <w:r w:rsidR="00B75E69">
        <w:rPr>
          <w:sz w:val="22"/>
          <w:szCs w:val="22"/>
        </w:rPr>
        <w:t>C</w:t>
      </w:r>
      <w:r w:rsidRPr="005B294B">
        <w:rPr>
          <w:sz w:val="22"/>
          <w:szCs w:val="22"/>
        </w:rPr>
        <w:t>olumn (1)</w:t>
      </w:r>
      <w:r w:rsidR="00BB5A53">
        <w:rPr>
          <w:sz w:val="22"/>
          <w:szCs w:val="22"/>
        </w:rPr>
        <w:t xml:space="preserve"> of Table 4 shows that</w:t>
      </w:r>
      <w:r>
        <w:rPr>
          <w:sz w:val="22"/>
          <w:szCs w:val="22"/>
        </w:rPr>
        <w:t xml:space="preserve"> for every $1</w:t>
      </w:r>
      <w:r w:rsidR="00BB5A53">
        <w:rPr>
          <w:sz w:val="22"/>
          <w:szCs w:val="22"/>
        </w:rPr>
        <w:t>,</w:t>
      </w:r>
      <w:r>
        <w:rPr>
          <w:sz w:val="22"/>
          <w:szCs w:val="22"/>
        </w:rPr>
        <w:t>000 increase in per worker import exposure, per-pupil revenue decrease</w:t>
      </w:r>
      <w:r w:rsidR="00BB5A53">
        <w:rPr>
          <w:sz w:val="22"/>
          <w:szCs w:val="22"/>
        </w:rPr>
        <w:t>s</w:t>
      </w:r>
      <w:r>
        <w:rPr>
          <w:sz w:val="22"/>
          <w:szCs w:val="22"/>
        </w:rPr>
        <w:t xml:space="preserve"> by $250. </w:t>
      </w:r>
      <w:r w:rsidR="00B75E69">
        <w:rPr>
          <w:sz w:val="22"/>
          <w:szCs w:val="22"/>
        </w:rPr>
        <w:t>The merely</w:t>
      </w:r>
      <w:r>
        <w:rPr>
          <w:sz w:val="22"/>
          <w:szCs w:val="22"/>
        </w:rPr>
        <w:t xml:space="preserve"> $12 gap between results in column (1) of Table 4 and column (5) of Table 3 suggest</w:t>
      </w:r>
      <w:r w:rsidR="00B75E69">
        <w:rPr>
          <w:sz w:val="22"/>
          <w:szCs w:val="22"/>
        </w:rPr>
        <w:t>s</w:t>
      </w:r>
      <w:r>
        <w:rPr>
          <w:sz w:val="22"/>
          <w:szCs w:val="22"/>
        </w:rPr>
        <w:t xml:space="preserve"> </w:t>
      </w:r>
      <w:r w:rsidR="00B75E69">
        <w:rPr>
          <w:sz w:val="22"/>
          <w:szCs w:val="22"/>
        </w:rPr>
        <w:t xml:space="preserve">that the changes in school district expenditures are indeed driven by changes in school district revenues. </w:t>
      </w:r>
    </w:p>
    <w:p w14:paraId="125CDC11" w14:textId="28C79EF8" w:rsidR="00DD603F" w:rsidRDefault="004D7871" w:rsidP="00DB04F3">
      <w:pPr>
        <w:spacing w:line="360" w:lineRule="auto"/>
        <w:ind w:firstLine="720"/>
        <w:jc w:val="both"/>
        <w:rPr>
          <w:sz w:val="22"/>
          <w:szCs w:val="22"/>
        </w:rPr>
      </w:pPr>
      <w:r>
        <w:rPr>
          <w:sz w:val="22"/>
          <w:szCs w:val="22"/>
        </w:rPr>
        <w:t xml:space="preserve">In order to make appropriate policy recommendations regarding </w:t>
      </w:r>
      <w:r w:rsidR="00DB04F3">
        <w:rPr>
          <w:sz w:val="22"/>
          <w:szCs w:val="22"/>
        </w:rPr>
        <w:t>how school districts might mitigate the impacts of changes in revenues</w:t>
      </w:r>
      <w:r>
        <w:rPr>
          <w:sz w:val="22"/>
          <w:szCs w:val="22"/>
        </w:rPr>
        <w:t>, it is important to consider which level of government is most responsible for the</w:t>
      </w:r>
      <w:r w:rsidR="00DB04F3">
        <w:rPr>
          <w:sz w:val="22"/>
          <w:szCs w:val="22"/>
        </w:rPr>
        <w:t>se changes</w:t>
      </w:r>
      <w:r>
        <w:rPr>
          <w:sz w:val="22"/>
          <w:szCs w:val="22"/>
        </w:rPr>
        <w:t xml:space="preserve">. </w:t>
      </w:r>
      <w:r w:rsidR="00A20361">
        <w:rPr>
          <w:sz w:val="22"/>
          <w:szCs w:val="22"/>
        </w:rPr>
        <w:t>In columns (2)- (4)</w:t>
      </w:r>
      <w:r w:rsidR="00DB04F3">
        <w:rPr>
          <w:sz w:val="22"/>
          <w:szCs w:val="22"/>
        </w:rPr>
        <w:t xml:space="preserve"> of Table 4</w:t>
      </w:r>
      <w:r w:rsidR="00A20361">
        <w:rPr>
          <w:sz w:val="22"/>
          <w:szCs w:val="22"/>
        </w:rPr>
        <w:t xml:space="preserve">, I consider the impact of Chinese import exposure on the three different sources of revenues for school districts separately. As can be seen in the table, the decrease in per-pupil revenue is mainly driven by the decrease in revenues from state governments; </w:t>
      </w:r>
      <w:r w:rsidR="00DB04F3">
        <w:rPr>
          <w:sz w:val="22"/>
          <w:szCs w:val="22"/>
        </w:rPr>
        <w:t xml:space="preserve">estimated </w:t>
      </w:r>
      <w:r w:rsidR="00A20361">
        <w:rPr>
          <w:sz w:val="22"/>
          <w:szCs w:val="22"/>
        </w:rPr>
        <w:t xml:space="preserve">coefficients for </w:t>
      </w:r>
      <w:r w:rsidR="00A20361" w:rsidRPr="005B294B">
        <w:rPr>
          <w:sz w:val="22"/>
          <w:szCs w:val="22"/>
        </w:rPr>
        <w:t>revenues from federal and local governments</w:t>
      </w:r>
      <w:r w:rsidR="00A20361">
        <w:rPr>
          <w:sz w:val="22"/>
          <w:szCs w:val="22"/>
        </w:rPr>
        <w:t xml:space="preserve"> </w:t>
      </w:r>
      <w:r w:rsidR="00A20361" w:rsidRPr="005B294B">
        <w:rPr>
          <w:sz w:val="22"/>
          <w:szCs w:val="22"/>
        </w:rPr>
        <w:t xml:space="preserve">are </w:t>
      </w:r>
      <w:r w:rsidR="00A20361">
        <w:rPr>
          <w:sz w:val="22"/>
          <w:szCs w:val="22"/>
        </w:rPr>
        <w:t xml:space="preserve">much smaller in magnitude and </w:t>
      </w:r>
      <w:r w:rsidR="00A20361" w:rsidRPr="005B294B">
        <w:rPr>
          <w:sz w:val="22"/>
          <w:szCs w:val="22"/>
        </w:rPr>
        <w:t xml:space="preserve">not </w:t>
      </w:r>
      <w:r w:rsidR="00DB04F3">
        <w:rPr>
          <w:sz w:val="22"/>
          <w:szCs w:val="22"/>
        </w:rPr>
        <w:t xml:space="preserve">statistically </w:t>
      </w:r>
      <w:r w:rsidR="00A20361" w:rsidRPr="005B294B">
        <w:rPr>
          <w:sz w:val="22"/>
          <w:szCs w:val="22"/>
        </w:rPr>
        <w:t>significant.</w:t>
      </w:r>
      <w:r w:rsidR="00DB04F3">
        <w:rPr>
          <w:sz w:val="22"/>
          <w:szCs w:val="22"/>
        </w:rPr>
        <w:t xml:space="preserve"> </w:t>
      </w:r>
      <w:r w:rsidR="00A20361" w:rsidRPr="005B294B">
        <w:rPr>
          <w:rFonts w:hint="eastAsia"/>
          <w:sz w:val="22"/>
          <w:szCs w:val="22"/>
        </w:rPr>
        <w:t xml:space="preserve"> </w:t>
      </w:r>
    </w:p>
    <w:p w14:paraId="5E462CE7" w14:textId="52EDDBE2" w:rsidR="00A20361" w:rsidRPr="005B294B" w:rsidRDefault="00A20361" w:rsidP="00DB04F3">
      <w:pPr>
        <w:spacing w:line="360" w:lineRule="auto"/>
        <w:ind w:firstLine="720"/>
        <w:jc w:val="both"/>
        <w:rPr>
          <w:sz w:val="22"/>
          <w:szCs w:val="22"/>
        </w:rPr>
      </w:pPr>
      <w:r w:rsidRPr="005B294B">
        <w:rPr>
          <w:sz w:val="22"/>
          <w:szCs w:val="22"/>
        </w:rPr>
        <w:lastRenderedPageBreak/>
        <w:t xml:space="preserve">This makes sense </w:t>
      </w:r>
      <w:r w:rsidRPr="005B294B">
        <w:rPr>
          <w:rFonts w:hint="eastAsia"/>
          <w:sz w:val="22"/>
          <w:szCs w:val="22"/>
        </w:rPr>
        <w:t>since</w:t>
      </w:r>
      <w:r w:rsidRPr="005B294B">
        <w:rPr>
          <w:sz w:val="22"/>
          <w:szCs w:val="22"/>
        </w:rPr>
        <w:t xml:space="preserve"> </w:t>
      </w:r>
      <w:r w:rsidR="00DB04F3">
        <w:rPr>
          <w:sz w:val="22"/>
          <w:szCs w:val="22"/>
        </w:rPr>
        <w:t>states mainly collect tax money via</w:t>
      </w:r>
      <w:r w:rsidRPr="005B294B">
        <w:rPr>
          <w:sz w:val="22"/>
          <w:szCs w:val="22"/>
        </w:rPr>
        <w:t xml:space="preserve"> income and sales tax</w:t>
      </w:r>
      <w:r w:rsidR="00DB04F3">
        <w:rPr>
          <w:sz w:val="22"/>
          <w:szCs w:val="22"/>
        </w:rPr>
        <w:t>es</w:t>
      </w:r>
      <w:r w:rsidRPr="005B294B">
        <w:rPr>
          <w:sz w:val="22"/>
          <w:szCs w:val="22"/>
        </w:rPr>
        <w:t xml:space="preserve">. </w:t>
      </w:r>
      <w:r w:rsidR="00DB04F3">
        <w:rPr>
          <w:sz w:val="22"/>
          <w:szCs w:val="22"/>
        </w:rPr>
        <w:t>Given that Chinese import exposure increases</w:t>
      </w:r>
      <w:r w:rsidRPr="005B294B">
        <w:rPr>
          <w:sz w:val="22"/>
          <w:szCs w:val="22"/>
        </w:rPr>
        <w:t xml:space="preserve"> unemployment (Autor et al</w:t>
      </w:r>
      <w:r w:rsidRPr="005B294B">
        <w:rPr>
          <w:rFonts w:hint="eastAsia"/>
          <w:sz w:val="22"/>
          <w:szCs w:val="22"/>
        </w:rPr>
        <w:t>, 2013</w:t>
      </w:r>
      <w:r w:rsidRPr="005B294B">
        <w:rPr>
          <w:sz w:val="22"/>
          <w:szCs w:val="22"/>
        </w:rPr>
        <w:t>), the tax base decrease</w:t>
      </w:r>
      <w:r>
        <w:rPr>
          <w:sz w:val="22"/>
          <w:szCs w:val="22"/>
        </w:rPr>
        <w:t>s</w:t>
      </w:r>
      <w:r w:rsidRPr="005B294B">
        <w:rPr>
          <w:sz w:val="22"/>
          <w:szCs w:val="22"/>
        </w:rPr>
        <w:t xml:space="preserve">, and </w:t>
      </w:r>
      <w:r w:rsidR="00DB04F3">
        <w:rPr>
          <w:sz w:val="22"/>
          <w:szCs w:val="22"/>
        </w:rPr>
        <w:t>so</w:t>
      </w:r>
      <w:r w:rsidRPr="005B294B">
        <w:rPr>
          <w:sz w:val="22"/>
          <w:szCs w:val="22"/>
        </w:rPr>
        <w:t xml:space="preserve"> state tax revenue</w:t>
      </w:r>
      <w:r w:rsidR="00DB04F3">
        <w:rPr>
          <w:sz w:val="22"/>
          <w:szCs w:val="22"/>
        </w:rPr>
        <w:t>s overall decrease</w:t>
      </w:r>
      <w:r w:rsidRPr="005B294B">
        <w:rPr>
          <w:sz w:val="22"/>
          <w:szCs w:val="22"/>
        </w:rPr>
        <w:t>.</w:t>
      </w:r>
      <w:r w:rsidR="00DB04F3">
        <w:rPr>
          <w:sz w:val="22"/>
          <w:szCs w:val="22"/>
        </w:rPr>
        <w:t xml:space="preserve"> </w:t>
      </w:r>
      <w:r w:rsidR="00353982">
        <w:rPr>
          <w:sz w:val="22"/>
          <w:szCs w:val="22"/>
        </w:rPr>
        <w:t>Unless</w:t>
      </w:r>
      <w:r w:rsidR="00DB04F3">
        <w:rPr>
          <w:sz w:val="22"/>
          <w:szCs w:val="22"/>
        </w:rPr>
        <w:t xml:space="preserve"> states </w:t>
      </w:r>
      <w:r w:rsidR="00353982">
        <w:rPr>
          <w:sz w:val="22"/>
          <w:szCs w:val="22"/>
        </w:rPr>
        <w:t xml:space="preserve">change the </w:t>
      </w:r>
      <w:proofErr w:type="gramStart"/>
      <w:r w:rsidR="00353982">
        <w:rPr>
          <w:sz w:val="22"/>
          <w:szCs w:val="22"/>
        </w:rPr>
        <w:t>way</w:t>
      </w:r>
      <w:proofErr w:type="gramEnd"/>
      <w:r w:rsidR="00353982">
        <w:rPr>
          <w:sz w:val="22"/>
          <w:szCs w:val="22"/>
        </w:rPr>
        <w:t xml:space="preserve"> they </w:t>
      </w:r>
      <w:r w:rsidR="00DB04F3">
        <w:rPr>
          <w:sz w:val="22"/>
          <w:szCs w:val="22"/>
        </w:rPr>
        <w:t xml:space="preserve">distribute their (lower) </w:t>
      </w:r>
      <w:r w:rsidR="00353982">
        <w:rPr>
          <w:sz w:val="22"/>
          <w:szCs w:val="22"/>
        </w:rPr>
        <w:t>tax revenues</w:t>
      </w:r>
      <w:r w:rsidR="00DB04F3">
        <w:rPr>
          <w:sz w:val="22"/>
          <w:szCs w:val="22"/>
        </w:rPr>
        <w:t>,</w:t>
      </w:r>
      <w:r w:rsidR="00353982">
        <w:rPr>
          <w:sz w:val="22"/>
          <w:szCs w:val="22"/>
        </w:rPr>
        <w:t xml:space="preserve"> we should expect school district funding from states negatively affected by trade shocks to decrease. Local governments mainly collect taxes via property taxes. Although there is evidence that Chinese import exposure decreases housing values (</w:t>
      </w:r>
      <w:proofErr w:type="spellStart"/>
      <w:r w:rsidR="00353982">
        <w:rPr>
          <w:sz w:val="22"/>
          <w:szCs w:val="22"/>
        </w:rPr>
        <w:t>Feler</w:t>
      </w:r>
      <w:proofErr w:type="spellEnd"/>
      <w:r w:rsidR="00353982">
        <w:rPr>
          <w:sz w:val="22"/>
          <w:szCs w:val="22"/>
        </w:rPr>
        <w:t xml:space="preserve"> and Senses 2017), the impact of these changes may be smaller or less immediate than impacts on state tax revenues. Alternatively (or in addition), local governments may continue supporting schools despite lower revenues understanding the importance of education for coping with trade shocks. </w:t>
      </w:r>
      <w:r w:rsidR="00DD603F">
        <w:rPr>
          <w:sz w:val="22"/>
          <w:szCs w:val="22"/>
        </w:rPr>
        <w:t xml:space="preserve">Given that this analysis exploits variation in import exposure in commuting zones across the U.S., we cannot identify the impact of trade shocks on taxes collected at the federal level. The fact that school districts in commuting zones hit hardest by import shocks receive no increases in revenues from the federal government suggests that the federal government does not compensate for any losses in revenues from local and state governments. </w:t>
      </w:r>
    </w:p>
    <w:p w14:paraId="453580CB" w14:textId="12C7743A" w:rsidR="00A20361" w:rsidRDefault="00A20361" w:rsidP="00A20361">
      <w:pPr>
        <w:widowControl w:val="0"/>
        <w:autoSpaceDE w:val="0"/>
        <w:autoSpaceDN w:val="0"/>
        <w:adjustRightInd w:val="0"/>
        <w:spacing w:line="360" w:lineRule="auto"/>
        <w:jc w:val="both"/>
        <w:rPr>
          <w:sz w:val="22"/>
          <w:szCs w:val="22"/>
        </w:rPr>
      </w:pPr>
      <w:r>
        <w:rPr>
          <w:sz w:val="22"/>
          <w:szCs w:val="22"/>
        </w:rPr>
        <w:t xml:space="preserve">            </w:t>
      </w:r>
      <w:r w:rsidR="00B97F5F">
        <w:rPr>
          <w:sz w:val="22"/>
          <w:szCs w:val="22"/>
        </w:rPr>
        <w:t xml:space="preserve">Next, I consider what the changes in school funding implies for the actual expenditures school districts make. After all, if there is slack in school districts budgets, they may weather trade-induced revenue shocks by simply </w:t>
      </w:r>
      <w:r w:rsidR="00B97F5F" w:rsidRPr="00B97F5F">
        <w:rPr>
          <w:sz w:val="22"/>
          <w:szCs w:val="22"/>
        </w:rPr>
        <w:t xml:space="preserve">decreasing expenditures </w:t>
      </w:r>
      <w:r w:rsidR="00B97F5F">
        <w:rPr>
          <w:sz w:val="22"/>
          <w:szCs w:val="22"/>
        </w:rPr>
        <w:t xml:space="preserve">on things like adult education or postponing new construction projects. </w:t>
      </w:r>
      <w:r w:rsidRPr="005B294B">
        <w:rPr>
          <w:sz w:val="22"/>
          <w:szCs w:val="22"/>
        </w:rPr>
        <w:t xml:space="preserve">In Table </w:t>
      </w:r>
      <w:r>
        <w:rPr>
          <w:sz w:val="22"/>
          <w:szCs w:val="22"/>
        </w:rPr>
        <w:t>5</w:t>
      </w:r>
      <w:r w:rsidRPr="005B294B">
        <w:rPr>
          <w:sz w:val="22"/>
          <w:szCs w:val="22"/>
        </w:rPr>
        <w:t xml:space="preserve">, I </w:t>
      </w:r>
      <w:r>
        <w:rPr>
          <w:sz w:val="22"/>
          <w:szCs w:val="22"/>
        </w:rPr>
        <w:t xml:space="preserve">consider </w:t>
      </w:r>
      <w:r w:rsidRPr="005B294B">
        <w:rPr>
          <w:sz w:val="22"/>
          <w:szCs w:val="22"/>
        </w:rPr>
        <w:t>the impacts</w:t>
      </w:r>
      <w:r>
        <w:rPr>
          <w:sz w:val="22"/>
          <w:szCs w:val="22"/>
        </w:rPr>
        <w:t xml:space="preserve"> of import</w:t>
      </w:r>
      <w:r w:rsidRPr="005B294B">
        <w:rPr>
          <w:sz w:val="22"/>
          <w:szCs w:val="22"/>
        </w:rPr>
        <w:t xml:space="preserve"> on </w:t>
      </w:r>
      <w:r>
        <w:rPr>
          <w:sz w:val="22"/>
          <w:szCs w:val="22"/>
        </w:rPr>
        <w:t>three major categories of</w:t>
      </w:r>
      <w:r w:rsidRPr="005B294B">
        <w:rPr>
          <w:sz w:val="22"/>
          <w:szCs w:val="22"/>
        </w:rPr>
        <w:t xml:space="preserve"> expenditure: current primary and secondary expenditures, current non-primary</w:t>
      </w:r>
      <w:r w:rsidR="007042C9">
        <w:rPr>
          <w:sz w:val="22"/>
          <w:szCs w:val="22"/>
        </w:rPr>
        <w:t>/</w:t>
      </w:r>
      <w:r w:rsidRPr="005B294B">
        <w:rPr>
          <w:sz w:val="22"/>
          <w:szCs w:val="22"/>
        </w:rPr>
        <w:t>secondary expenditures and capital outlays.</w:t>
      </w:r>
      <w:r w:rsidRPr="005B294B">
        <w:rPr>
          <w:sz w:val="22"/>
          <w:szCs w:val="22"/>
          <w:vertAlign w:val="superscript"/>
        </w:rPr>
        <w:footnoteReference w:id="18"/>
      </w:r>
      <w:r w:rsidRPr="005B294B">
        <w:rPr>
          <w:sz w:val="22"/>
          <w:szCs w:val="22"/>
        </w:rPr>
        <w:t xml:space="preserve"> </w:t>
      </w:r>
      <w:r w:rsidR="00465C0F">
        <w:rPr>
          <w:sz w:val="22"/>
          <w:szCs w:val="22"/>
        </w:rPr>
        <w:t>Prior research has shown</w:t>
      </w:r>
      <w:r>
        <w:rPr>
          <w:sz w:val="22"/>
          <w:szCs w:val="22"/>
        </w:rPr>
        <w:t xml:space="preserve"> that facing budget reduction</w:t>
      </w:r>
      <w:r w:rsidR="00465C0F">
        <w:rPr>
          <w:sz w:val="22"/>
          <w:szCs w:val="22"/>
        </w:rPr>
        <w:t>s</w:t>
      </w:r>
      <w:r>
        <w:rPr>
          <w:sz w:val="22"/>
          <w:szCs w:val="22"/>
        </w:rPr>
        <w:t xml:space="preserve">, </w:t>
      </w:r>
      <w:r w:rsidR="001F69C1">
        <w:rPr>
          <w:sz w:val="22"/>
          <w:szCs w:val="22"/>
        </w:rPr>
        <w:t xml:space="preserve">public schools </w:t>
      </w:r>
      <w:r w:rsidR="00B97F5F">
        <w:rPr>
          <w:sz w:val="22"/>
          <w:szCs w:val="22"/>
        </w:rPr>
        <w:t>mitigate</w:t>
      </w:r>
      <w:r w:rsidR="001F69C1">
        <w:rPr>
          <w:sz w:val="22"/>
          <w:szCs w:val="22"/>
        </w:rPr>
        <w:t xml:space="preserve"> negative effect</w:t>
      </w:r>
      <w:r w:rsidR="00B97F5F">
        <w:rPr>
          <w:sz w:val="22"/>
          <w:szCs w:val="22"/>
        </w:rPr>
        <w:t>s</w:t>
      </w:r>
      <w:r w:rsidR="001F69C1">
        <w:rPr>
          <w:sz w:val="22"/>
          <w:szCs w:val="22"/>
        </w:rPr>
        <w:t xml:space="preserve"> on students by </w:t>
      </w:r>
      <w:r w:rsidR="001F69C1" w:rsidRPr="001F69C1">
        <w:rPr>
          <w:sz w:val="22"/>
          <w:szCs w:val="22"/>
        </w:rPr>
        <w:t xml:space="preserve">disproportionately cutting more from construction expenditures and less from </w:t>
      </w:r>
      <w:r w:rsidR="001F69C1">
        <w:rPr>
          <w:sz w:val="22"/>
          <w:szCs w:val="22"/>
        </w:rPr>
        <w:t xml:space="preserve">expenditures on </w:t>
      </w:r>
      <w:r w:rsidR="001F69C1" w:rsidRPr="001F69C1">
        <w:rPr>
          <w:sz w:val="22"/>
          <w:szCs w:val="22"/>
        </w:rPr>
        <w:t>K</w:t>
      </w:r>
      <w:r w:rsidR="00B75E69">
        <w:rPr>
          <w:sz w:val="22"/>
          <w:szCs w:val="22"/>
        </w:rPr>
        <w:t>-</w:t>
      </w:r>
      <w:r w:rsidR="001F69C1" w:rsidRPr="001F69C1">
        <w:rPr>
          <w:sz w:val="22"/>
          <w:szCs w:val="22"/>
        </w:rPr>
        <w:t xml:space="preserve">12 </w:t>
      </w:r>
      <w:r w:rsidR="001F69C1">
        <w:rPr>
          <w:sz w:val="22"/>
          <w:szCs w:val="22"/>
        </w:rPr>
        <w:t xml:space="preserve">core-operations </w:t>
      </w:r>
      <w:r>
        <w:rPr>
          <w:sz w:val="22"/>
          <w:szCs w:val="22"/>
        </w:rPr>
        <w:t xml:space="preserve">(Jackson et al., 2018). </w:t>
      </w:r>
      <w:r w:rsidR="00465C0F">
        <w:rPr>
          <w:sz w:val="22"/>
          <w:szCs w:val="22"/>
        </w:rPr>
        <w:t>The results in Table 5 show</w:t>
      </w:r>
      <w:r>
        <w:rPr>
          <w:sz w:val="22"/>
          <w:szCs w:val="22"/>
        </w:rPr>
        <w:t xml:space="preserve"> that </w:t>
      </w:r>
      <w:r w:rsidRPr="005B294B">
        <w:rPr>
          <w:sz w:val="22"/>
          <w:szCs w:val="22"/>
        </w:rPr>
        <w:t xml:space="preserve">in response to a </w:t>
      </w:r>
      <w:r w:rsidRPr="005B294B">
        <w:rPr>
          <w:rFonts w:hint="eastAsia"/>
          <w:sz w:val="22"/>
          <w:szCs w:val="22"/>
        </w:rPr>
        <w:t>$1</w:t>
      </w:r>
      <w:r w:rsidR="00B97F5F">
        <w:rPr>
          <w:sz w:val="22"/>
          <w:szCs w:val="22"/>
        </w:rPr>
        <w:t>,</w:t>
      </w:r>
      <w:r w:rsidRPr="005B294B">
        <w:rPr>
          <w:rFonts w:hint="eastAsia"/>
          <w:sz w:val="22"/>
          <w:szCs w:val="22"/>
        </w:rPr>
        <w:t>000</w:t>
      </w:r>
      <w:r w:rsidRPr="005B294B">
        <w:rPr>
          <w:sz w:val="22"/>
          <w:szCs w:val="22"/>
        </w:rPr>
        <w:t xml:space="preserve"> rise in a CZ’s import exposure per worker, per-pupil current expenditure on </w:t>
      </w:r>
      <w:r w:rsidRPr="005B294B">
        <w:rPr>
          <w:rFonts w:hint="eastAsia"/>
          <w:sz w:val="22"/>
          <w:szCs w:val="22"/>
        </w:rPr>
        <w:t>non-</w:t>
      </w:r>
      <w:r w:rsidRPr="005B294B">
        <w:rPr>
          <w:sz w:val="22"/>
          <w:szCs w:val="22"/>
        </w:rPr>
        <w:t>primary</w:t>
      </w:r>
      <w:r w:rsidR="006E3625">
        <w:rPr>
          <w:sz w:val="22"/>
          <w:szCs w:val="22"/>
        </w:rPr>
        <w:t>/</w:t>
      </w:r>
      <w:r w:rsidRPr="005B294B">
        <w:rPr>
          <w:sz w:val="22"/>
          <w:szCs w:val="22"/>
        </w:rPr>
        <w:t>secondary education is reduced by $7, per-pupil capital outlay expenditure is reduced by $</w:t>
      </w:r>
      <w:r>
        <w:rPr>
          <w:sz w:val="22"/>
          <w:szCs w:val="22"/>
        </w:rPr>
        <w:t>82</w:t>
      </w:r>
      <w:r w:rsidRPr="005B294B">
        <w:rPr>
          <w:sz w:val="22"/>
          <w:szCs w:val="22"/>
        </w:rPr>
        <w:t xml:space="preserve">, </w:t>
      </w:r>
      <w:r w:rsidR="00B97F5F">
        <w:rPr>
          <w:sz w:val="22"/>
          <w:szCs w:val="22"/>
        </w:rPr>
        <w:t xml:space="preserve">but </w:t>
      </w:r>
      <w:r w:rsidRPr="005B294B">
        <w:rPr>
          <w:rFonts w:hint="eastAsia"/>
          <w:sz w:val="22"/>
          <w:szCs w:val="22"/>
        </w:rPr>
        <w:t xml:space="preserve">per-pupil expenditure on current primary and secondary expenditure </w:t>
      </w:r>
      <w:r>
        <w:rPr>
          <w:sz w:val="22"/>
          <w:szCs w:val="22"/>
        </w:rPr>
        <w:t xml:space="preserve">is </w:t>
      </w:r>
      <w:r w:rsidR="00B97F5F">
        <w:rPr>
          <w:sz w:val="22"/>
          <w:szCs w:val="22"/>
        </w:rPr>
        <w:t>reduced</w:t>
      </w:r>
      <w:r>
        <w:rPr>
          <w:sz w:val="22"/>
          <w:szCs w:val="22"/>
        </w:rPr>
        <w:t xml:space="preserve"> </w:t>
      </w:r>
      <w:r w:rsidRPr="005B294B">
        <w:rPr>
          <w:rFonts w:hint="eastAsia"/>
          <w:sz w:val="22"/>
          <w:szCs w:val="22"/>
        </w:rPr>
        <w:t>by $164</w:t>
      </w:r>
      <w:r>
        <w:rPr>
          <w:sz w:val="22"/>
          <w:szCs w:val="22"/>
        </w:rPr>
        <w:t xml:space="preserve">; </w:t>
      </w:r>
      <w:r w:rsidRPr="005B294B">
        <w:rPr>
          <w:rFonts w:hint="eastAsia"/>
          <w:sz w:val="22"/>
          <w:szCs w:val="22"/>
        </w:rPr>
        <w:t xml:space="preserve">all of the </w:t>
      </w:r>
      <w:r>
        <w:rPr>
          <w:sz w:val="22"/>
          <w:szCs w:val="22"/>
        </w:rPr>
        <w:t>estimates</w:t>
      </w:r>
      <w:r w:rsidRPr="005B294B">
        <w:rPr>
          <w:rFonts w:hint="eastAsia"/>
          <w:sz w:val="22"/>
          <w:szCs w:val="22"/>
        </w:rPr>
        <w:t xml:space="preserve"> are </w:t>
      </w:r>
      <w:r>
        <w:rPr>
          <w:sz w:val="22"/>
          <w:szCs w:val="22"/>
        </w:rPr>
        <w:t xml:space="preserve">statistically </w:t>
      </w:r>
      <w:r w:rsidRPr="005B294B">
        <w:rPr>
          <w:rFonts w:hint="eastAsia"/>
          <w:sz w:val="22"/>
          <w:szCs w:val="22"/>
        </w:rPr>
        <w:t xml:space="preserve">significant. </w:t>
      </w:r>
      <w:r w:rsidR="00B97F5F">
        <w:rPr>
          <w:sz w:val="22"/>
          <w:szCs w:val="22"/>
        </w:rPr>
        <w:t>This</w:t>
      </w:r>
      <w:r w:rsidR="007D4288">
        <w:rPr>
          <w:sz w:val="22"/>
          <w:szCs w:val="22"/>
        </w:rPr>
        <w:t xml:space="preserve"> reduction in capital outlay spending accounts </w:t>
      </w:r>
      <w:r w:rsidR="004449D6">
        <w:rPr>
          <w:sz w:val="22"/>
          <w:szCs w:val="22"/>
        </w:rPr>
        <w:t xml:space="preserve">for </w:t>
      </w:r>
      <w:r w:rsidR="004449D6" w:rsidRPr="007D4288">
        <w:t>32.4</w:t>
      </w:r>
      <w:r w:rsidR="007D4288">
        <w:rPr>
          <w:sz w:val="22"/>
          <w:szCs w:val="22"/>
        </w:rPr>
        <w:t xml:space="preserve">% of the total reduction and the reduction in current primary and secondary expenditure account for 64.8% of the total reduction. Considering the fact that on average capital spending accounts for around 9% of overall spending and primary and secondary expenditure account for more than 80% of overall spending, </w:t>
      </w:r>
      <w:r w:rsidR="00E53B28">
        <w:rPr>
          <w:sz w:val="22"/>
          <w:szCs w:val="22"/>
        </w:rPr>
        <w:t>these results imply that</w:t>
      </w:r>
      <w:r w:rsidR="007D4288">
        <w:rPr>
          <w:sz w:val="22"/>
          <w:szCs w:val="22"/>
        </w:rPr>
        <w:t xml:space="preserve"> school districts </w:t>
      </w:r>
      <w:r w:rsidR="00174E3F">
        <w:rPr>
          <w:sz w:val="22"/>
          <w:szCs w:val="22"/>
        </w:rPr>
        <w:t xml:space="preserve">are </w:t>
      </w:r>
      <w:r w:rsidR="007D4288">
        <w:rPr>
          <w:sz w:val="22"/>
          <w:szCs w:val="22"/>
        </w:rPr>
        <w:t xml:space="preserve">making </w:t>
      </w:r>
      <w:r w:rsidR="00E53B28">
        <w:rPr>
          <w:sz w:val="22"/>
          <w:szCs w:val="22"/>
        </w:rPr>
        <w:t xml:space="preserve">an </w:t>
      </w:r>
      <w:r w:rsidR="007D4288">
        <w:rPr>
          <w:sz w:val="22"/>
          <w:szCs w:val="22"/>
        </w:rPr>
        <w:t xml:space="preserve">effort to shield the core-operations spending from </w:t>
      </w:r>
      <w:r w:rsidR="00174E3F">
        <w:rPr>
          <w:sz w:val="22"/>
          <w:szCs w:val="22"/>
        </w:rPr>
        <w:t>import shock</w:t>
      </w:r>
      <w:r w:rsidR="00E53B28">
        <w:rPr>
          <w:sz w:val="22"/>
          <w:szCs w:val="22"/>
        </w:rPr>
        <w:t>s</w:t>
      </w:r>
      <w:r w:rsidR="00174E3F">
        <w:rPr>
          <w:sz w:val="22"/>
          <w:szCs w:val="22"/>
        </w:rPr>
        <w:t>.</w:t>
      </w:r>
    </w:p>
    <w:p w14:paraId="309AD4A6" w14:textId="6239A239" w:rsidR="00A20361" w:rsidRDefault="00A20361" w:rsidP="00A20361">
      <w:pPr>
        <w:widowControl w:val="0"/>
        <w:autoSpaceDE w:val="0"/>
        <w:autoSpaceDN w:val="0"/>
        <w:adjustRightInd w:val="0"/>
        <w:spacing w:line="360" w:lineRule="auto"/>
        <w:jc w:val="both"/>
        <w:rPr>
          <w:sz w:val="22"/>
          <w:szCs w:val="22"/>
        </w:rPr>
      </w:pPr>
      <w:r>
        <w:rPr>
          <w:sz w:val="22"/>
          <w:szCs w:val="22"/>
        </w:rPr>
        <w:t xml:space="preserve">            Next, i</w:t>
      </w:r>
      <w:r w:rsidRPr="005B294B">
        <w:rPr>
          <w:sz w:val="22"/>
          <w:szCs w:val="22"/>
        </w:rPr>
        <w:t xml:space="preserve">n Table </w:t>
      </w:r>
      <w:r>
        <w:rPr>
          <w:sz w:val="22"/>
          <w:szCs w:val="22"/>
        </w:rPr>
        <w:t>6</w:t>
      </w:r>
      <w:r w:rsidRPr="005B294B">
        <w:rPr>
          <w:sz w:val="22"/>
          <w:szCs w:val="22"/>
        </w:rPr>
        <w:t>,</w:t>
      </w:r>
      <w:r>
        <w:rPr>
          <w:sz w:val="22"/>
          <w:szCs w:val="22"/>
        </w:rPr>
        <w:t xml:space="preserve"> I further split the </w:t>
      </w:r>
      <w:r w:rsidR="00A9216C">
        <w:rPr>
          <w:sz w:val="22"/>
          <w:szCs w:val="22"/>
        </w:rPr>
        <w:t xml:space="preserve">broad </w:t>
      </w:r>
      <w:r>
        <w:rPr>
          <w:sz w:val="22"/>
          <w:szCs w:val="22"/>
        </w:rPr>
        <w:t xml:space="preserve">expenditure on current elementary and secondary education </w:t>
      </w:r>
      <w:r w:rsidR="00A9216C">
        <w:rPr>
          <w:sz w:val="22"/>
          <w:szCs w:val="22"/>
        </w:rPr>
        <w:t xml:space="preserve">category </w:t>
      </w:r>
      <w:r>
        <w:rPr>
          <w:sz w:val="22"/>
          <w:szCs w:val="22"/>
        </w:rPr>
        <w:t>into three sub-categories: instruction, support service and other expenditures.</w:t>
      </w:r>
      <w:r w:rsidRPr="005B294B">
        <w:rPr>
          <w:sz w:val="22"/>
          <w:szCs w:val="22"/>
        </w:rPr>
        <w:t xml:space="preserve"> </w:t>
      </w:r>
      <w:r>
        <w:rPr>
          <w:sz w:val="22"/>
          <w:szCs w:val="22"/>
        </w:rPr>
        <w:t xml:space="preserve">Previous research </w:t>
      </w:r>
      <w:r>
        <w:rPr>
          <w:sz w:val="22"/>
          <w:szCs w:val="22"/>
        </w:rPr>
        <w:lastRenderedPageBreak/>
        <w:t>(Loeb and Page, 2000;</w:t>
      </w:r>
      <w:r w:rsidRPr="000A76B4">
        <w:rPr>
          <w:sz w:val="22"/>
          <w:szCs w:val="22"/>
        </w:rPr>
        <w:t xml:space="preserve"> </w:t>
      </w:r>
      <w:r>
        <w:rPr>
          <w:sz w:val="22"/>
          <w:szCs w:val="22"/>
        </w:rPr>
        <w:t>Lucas and Samardzic, 2014; Britton and Propper, 2016) find</w:t>
      </w:r>
      <w:r w:rsidR="00234BD4">
        <w:rPr>
          <w:sz w:val="22"/>
          <w:szCs w:val="22"/>
        </w:rPr>
        <w:t>s</w:t>
      </w:r>
      <w:r>
        <w:rPr>
          <w:sz w:val="22"/>
          <w:szCs w:val="22"/>
        </w:rPr>
        <w:t xml:space="preserve"> evidence that students’ performance in schools improves in response to increases in teachers’ wages. As can be seen in the table</w:t>
      </w:r>
      <w:r w:rsidR="00234BD4" w:rsidRPr="005B294B">
        <w:rPr>
          <w:sz w:val="22"/>
          <w:szCs w:val="22"/>
        </w:rPr>
        <w:t>, expenditures</w:t>
      </w:r>
      <w:r w:rsidRPr="005B294B">
        <w:rPr>
          <w:sz w:val="22"/>
          <w:szCs w:val="22"/>
        </w:rPr>
        <w:t xml:space="preserve"> on instruction and support service </w:t>
      </w:r>
      <w:r w:rsidR="00234BD4">
        <w:rPr>
          <w:sz w:val="22"/>
          <w:szCs w:val="22"/>
        </w:rPr>
        <w:t>are</w:t>
      </w:r>
      <w:r w:rsidRPr="005B294B">
        <w:rPr>
          <w:sz w:val="22"/>
          <w:szCs w:val="22"/>
        </w:rPr>
        <w:t xml:space="preserve"> significantly reduced</w:t>
      </w:r>
      <w:r w:rsidR="00234BD4">
        <w:rPr>
          <w:sz w:val="22"/>
          <w:szCs w:val="22"/>
        </w:rPr>
        <w:t xml:space="preserve"> in districts hit hardest by Chinese import competition</w:t>
      </w:r>
      <w:r>
        <w:rPr>
          <w:sz w:val="22"/>
          <w:szCs w:val="22"/>
        </w:rPr>
        <w:t>;</w:t>
      </w:r>
      <w:r w:rsidRPr="005B294B">
        <w:rPr>
          <w:sz w:val="22"/>
          <w:szCs w:val="22"/>
        </w:rPr>
        <w:t xml:space="preserve"> per-pupil expenditure</w:t>
      </w:r>
      <w:r w:rsidR="00234BD4">
        <w:rPr>
          <w:sz w:val="22"/>
          <w:szCs w:val="22"/>
        </w:rPr>
        <w:t>s</w:t>
      </w:r>
      <w:r w:rsidRPr="005B294B">
        <w:rPr>
          <w:sz w:val="22"/>
          <w:szCs w:val="22"/>
        </w:rPr>
        <w:t xml:space="preserve"> on instruction </w:t>
      </w:r>
      <w:r w:rsidR="00234BD4">
        <w:rPr>
          <w:sz w:val="22"/>
          <w:szCs w:val="22"/>
        </w:rPr>
        <w:t>are reduced</w:t>
      </w:r>
      <w:r w:rsidRPr="005B294B">
        <w:rPr>
          <w:sz w:val="22"/>
          <w:szCs w:val="22"/>
        </w:rPr>
        <w:t xml:space="preserve"> by $119, </w:t>
      </w:r>
      <w:r w:rsidR="00A9216C">
        <w:rPr>
          <w:sz w:val="22"/>
          <w:szCs w:val="22"/>
        </w:rPr>
        <w:t>almost three times</w:t>
      </w:r>
      <w:r w:rsidRPr="005B294B">
        <w:rPr>
          <w:sz w:val="22"/>
          <w:szCs w:val="22"/>
        </w:rPr>
        <w:t xml:space="preserve"> the decrease in per-pupil expenditure</w:t>
      </w:r>
      <w:r w:rsidR="00A9216C">
        <w:rPr>
          <w:sz w:val="22"/>
          <w:szCs w:val="22"/>
        </w:rPr>
        <w:t>s</w:t>
      </w:r>
      <w:r w:rsidRPr="005B294B">
        <w:rPr>
          <w:sz w:val="22"/>
          <w:szCs w:val="22"/>
        </w:rPr>
        <w:t xml:space="preserve"> on support service</w:t>
      </w:r>
      <w:r w:rsidR="00A9216C">
        <w:rPr>
          <w:sz w:val="22"/>
          <w:szCs w:val="22"/>
        </w:rPr>
        <w:t>s</w:t>
      </w:r>
      <w:r w:rsidRPr="005B294B">
        <w:rPr>
          <w:sz w:val="22"/>
          <w:szCs w:val="22"/>
        </w:rPr>
        <w:t xml:space="preserve">, , when the CZ’s import exposure per worker </w:t>
      </w:r>
      <w:r w:rsidR="00A9216C">
        <w:rPr>
          <w:sz w:val="22"/>
          <w:szCs w:val="22"/>
        </w:rPr>
        <w:t xml:space="preserve">is </w:t>
      </w:r>
      <w:r w:rsidRPr="005B294B">
        <w:rPr>
          <w:sz w:val="22"/>
          <w:szCs w:val="22"/>
        </w:rPr>
        <w:t xml:space="preserve">increased by $1000. </w:t>
      </w:r>
      <w:r>
        <w:rPr>
          <w:sz w:val="22"/>
          <w:szCs w:val="22"/>
        </w:rPr>
        <w:t>This result</w:t>
      </w:r>
      <w:r w:rsidR="00234BD4">
        <w:rPr>
          <w:sz w:val="22"/>
          <w:szCs w:val="22"/>
        </w:rPr>
        <w:t>, taken together with the results in</w:t>
      </w:r>
      <w:r w:rsidR="00A9216C">
        <w:rPr>
          <w:sz w:val="22"/>
          <w:szCs w:val="22"/>
        </w:rPr>
        <w:t xml:space="preserve"> the</w:t>
      </w:r>
      <w:r w:rsidR="00234BD4">
        <w:rPr>
          <w:sz w:val="22"/>
          <w:szCs w:val="22"/>
        </w:rPr>
        <w:t xml:space="preserve"> prior literature, implies</w:t>
      </w:r>
      <w:r>
        <w:rPr>
          <w:sz w:val="22"/>
          <w:szCs w:val="22"/>
        </w:rPr>
        <w:t xml:space="preserve"> that</w:t>
      </w:r>
      <w:r w:rsidR="00234BD4">
        <w:rPr>
          <w:sz w:val="22"/>
          <w:szCs w:val="22"/>
        </w:rPr>
        <w:t xml:space="preserve"> </w:t>
      </w:r>
      <w:r w:rsidRPr="005B294B">
        <w:rPr>
          <w:sz w:val="22"/>
          <w:szCs w:val="22"/>
        </w:rPr>
        <w:t xml:space="preserve">students’ performance </w:t>
      </w:r>
      <w:r w:rsidR="002D0CB7">
        <w:rPr>
          <w:sz w:val="22"/>
          <w:szCs w:val="22"/>
        </w:rPr>
        <w:t>is very likely to</w:t>
      </w:r>
      <w:r w:rsidR="002D0CB7" w:rsidRPr="005B294B">
        <w:rPr>
          <w:sz w:val="22"/>
          <w:szCs w:val="22"/>
        </w:rPr>
        <w:t xml:space="preserve"> </w:t>
      </w:r>
      <w:r w:rsidRPr="005B294B">
        <w:rPr>
          <w:sz w:val="22"/>
          <w:szCs w:val="22"/>
        </w:rPr>
        <w:t>be negatively affected by rising import</w:t>
      </w:r>
      <w:r>
        <w:rPr>
          <w:sz w:val="22"/>
          <w:szCs w:val="22"/>
        </w:rPr>
        <w:t xml:space="preserve"> competition</w:t>
      </w:r>
      <w:r w:rsidRPr="005B294B">
        <w:rPr>
          <w:sz w:val="22"/>
          <w:szCs w:val="22"/>
        </w:rPr>
        <w:t>.</w:t>
      </w:r>
    </w:p>
    <w:p w14:paraId="3EDCA32C" w14:textId="77777777" w:rsidR="00A20361" w:rsidRDefault="00A20361" w:rsidP="00A20361">
      <w:pPr>
        <w:widowControl w:val="0"/>
        <w:autoSpaceDE w:val="0"/>
        <w:autoSpaceDN w:val="0"/>
        <w:adjustRightInd w:val="0"/>
        <w:spacing w:line="360" w:lineRule="auto"/>
        <w:jc w:val="both"/>
        <w:rPr>
          <w:rFonts w:ascii="Times" w:hAnsi="Times" w:cs="Times"/>
          <w:color w:val="000000"/>
        </w:rPr>
      </w:pPr>
    </w:p>
    <w:p w14:paraId="316C91AC" w14:textId="782EF50B" w:rsidR="00A20361" w:rsidRPr="00824D77" w:rsidRDefault="00FF450B" w:rsidP="00A20361">
      <w:pPr>
        <w:spacing w:line="360" w:lineRule="auto"/>
        <w:jc w:val="both"/>
        <w:rPr>
          <w:rFonts w:ascii="Times" w:hAnsi="Times" w:cs="Times"/>
          <w:b/>
          <w:color w:val="000000"/>
        </w:rPr>
      </w:pPr>
      <w:r w:rsidRPr="00824D77">
        <w:rPr>
          <w:rFonts w:ascii="Times" w:hAnsi="Times" w:cs="Times"/>
          <w:b/>
          <w:color w:val="000000"/>
        </w:rPr>
        <w:t>6</w:t>
      </w:r>
      <w:r w:rsidR="00A20361" w:rsidRPr="00824D77">
        <w:rPr>
          <w:rFonts w:ascii="Times" w:hAnsi="Times" w:cs="Times"/>
          <w:b/>
          <w:color w:val="000000"/>
        </w:rPr>
        <w:t xml:space="preserve">. </w:t>
      </w:r>
      <w:r w:rsidR="002D0CB7">
        <w:rPr>
          <w:rFonts w:ascii="Times" w:hAnsi="Times" w:cs="Times"/>
          <w:b/>
          <w:color w:val="000000"/>
        </w:rPr>
        <w:t xml:space="preserve">Falsification Tests and </w:t>
      </w:r>
      <w:r w:rsidR="00A20361" w:rsidRPr="00824D77">
        <w:rPr>
          <w:rFonts w:ascii="Times" w:hAnsi="Times" w:cs="Times"/>
          <w:b/>
          <w:color w:val="000000"/>
        </w:rPr>
        <w:t>Robustness Checks</w:t>
      </w:r>
    </w:p>
    <w:p w14:paraId="2D1D404A" w14:textId="6A64380A" w:rsidR="00A20361" w:rsidRPr="00DC0607" w:rsidRDefault="00FF450B" w:rsidP="00A20361">
      <w:pPr>
        <w:spacing w:line="360" w:lineRule="auto"/>
        <w:jc w:val="both"/>
        <w:rPr>
          <w:rFonts w:ascii="Times" w:hAnsi="Times" w:cs="Times"/>
          <w:i/>
          <w:color w:val="000000"/>
          <w:sz w:val="22"/>
          <w:szCs w:val="22"/>
        </w:rPr>
      </w:pPr>
      <w:r>
        <w:rPr>
          <w:rFonts w:ascii="Times" w:hAnsi="Times" w:cs="Times"/>
          <w:i/>
          <w:color w:val="000000"/>
          <w:sz w:val="22"/>
          <w:szCs w:val="22"/>
        </w:rPr>
        <w:t>6.</w:t>
      </w:r>
      <w:r w:rsidR="00A20361" w:rsidRPr="00DC0607">
        <w:rPr>
          <w:rFonts w:ascii="Times" w:hAnsi="Times" w:cs="Times"/>
          <w:i/>
          <w:color w:val="000000"/>
          <w:sz w:val="22"/>
          <w:szCs w:val="22"/>
        </w:rPr>
        <w:t>1. Falsification Test</w:t>
      </w:r>
    </w:p>
    <w:p w14:paraId="56381153" w14:textId="1A3D2FF2" w:rsidR="00A20361" w:rsidRDefault="00A20361" w:rsidP="00A20361">
      <w:pPr>
        <w:spacing w:after="100" w:line="340" w:lineRule="auto"/>
        <w:jc w:val="both"/>
        <w:rPr>
          <w:sz w:val="22"/>
          <w:szCs w:val="22"/>
        </w:rPr>
      </w:pPr>
      <w:r>
        <w:rPr>
          <w:sz w:val="22"/>
          <w:szCs w:val="22"/>
        </w:rPr>
        <w:t xml:space="preserve">            Although the results above </w:t>
      </w:r>
      <w:r w:rsidR="002D0CB7">
        <w:rPr>
          <w:sz w:val="22"/>
          <w:szCs w:val="22"/>
        </w:rPr>
        <w:t xml:space="preserve">are certainly suggestive of a causal relationship between </w:t>
      </w:r>
      <w:r>
        <w:rPr>
          <w:sz w:val="22"/>
          <w:szCs w:val="22"/>
        </w:rPr>
        <w:t xml:space="preserve">import competition </w:t>
      </w:r>
      <w:r w:rsidR="002D0CB7">
        <w:rPr>
          <w:sz w:val="22"/>
          <w:szCs w:val="22"/>
        </w:rPr>
        <w:t xml:space="preserve">and </w:t>
      </w:r>
      <w:r>
        <w:rPr>
          <w:sz w:val="22"/>
          <w:szCs w:val="22"/>
        </w:rPr>
        <w:t>per-pupil expenditure</w:t>
      </w:r>
      <w:r w:rsidR="002D0CB7">
        <w:rPr>
          <w:sz w:val="22"/>
          <w:szCs w:val="22"/>
        </w:rPr>
        <w:t>s</w:t>
      </w:r>
      <w:r>
        <w:rPr>
          <w:sz w:val="22"/>
          <w:szCs w:val="22"/>
        </w:rPr>
        <w:t xml:space="preserve">, </w:t>
      </w:r>
      <w:r w:rsidR="002D0CB7">
        <w:rPr>
          <w:sz w:val="22"/>
          <w:szCs w:val="22"/>
        </w:rPr>
        <w:t>cautious readers may be concerned that some other factor, correlated with initial industry structure of a commuting zone, is what is actually driving the decreases in funding for public schools. For example, imagine that</w:t>
      </w:r>
      <w:r w:rsidR="00665F51">
        <w:rPr>
          <w:sz w:val="22"/>
          <w:szCs w:val="22"/>
        </w:rPr>
        <w:t xml:space="preserve"> in the period under investigation</w:t>
      </w:r>
      <w:r w:rsidR="002D0CB7">
        <w:rPr>
          <w:sz w:val="22"/>
          <w:szCs w:val="22"/>
        </w:rPr>
        <w:t xml:space="preserve"> policy makers in industrial cities</w:t>
      </w:r>
      <w:r w:rsidR="00665F51">
        <w:rPr>
          <w:sz w:val="22"/>
          <w:szCs w:val="22"/>
        </w:rPr>
        <w:t xml:space="preserve"> started imposing environmentally friendly legislation which decreased the profitability of local manufacturing firms and might result in more imports from China of products produced by those firms. This would result in local job loss and therefore lower taxes collected by state governments, but would not be a direct consequence of Chinese imports</w:t>
      </w:r>
    </w:p>
    <w:p w14:paraId="3FFD9111" w14:textId="37E02A73" w:rsidR="00A20361" w:rsidRPr="008B72E2" w:rsidRDefault="00A20361" w:rsidP="00A20361">
      <w:pPr>
        <w:spacing w:after="100" w:line="340" w:lineRule="auto"/>
        <w:jc w:val="both"/>
        <w:rPr>
          <w:sz w:val="22"/>
          <w:szCs w:val="22"/>
        </w:rPr>
      </w:pPr>
      <w:r>
        <w:rPr>
          <w:sz w:val="22"/>
          <w:szCs w:val="22"/>
        </w:rPr>
        <w:t xml:space="preserve">            To </w:t>
      </w:r>
      <w:r w:rsidR="00234BD4">
        <w:rPr>
          <w:sz w:val="22"/>
          <w:szCs w:val="22"/>
        </w:rPr>
        <w:t>address this issue</w:t>
      </w:r>
      <w:r w:rsidR="00665F51">
        <w:rPr>
          <w:sz w:val="22"/>
          <w:szCs w:val="22"/>
        </w:rPr>
        <w:t xml:space="preserve"> and others like it</w:t>
      </w:r>
      <w:r>
        <w:rPr>
          <w:sz w:val="22"/>
          <w:szCs w:val="22"/>
        </w:rPr>
        <w:t xml:space="preserve">, I </w:t>
      </w:r>
      <w:r w:rsidR="00665F51">
        <w:rPr>
          <w:sz w:val="22"/>
          <w:szCs w:val="22"/>
        </w:rPr>
        <w:t xml:space="preserve">take advantage of the timing of Chinese imports. Specifically, I </w:t>
      </w:r>
      <w:r>
        <w:rPr>
          <w:sz w:val="22"/>
          <w:szCs w:val="22"/>
        </w:rPr>
        <w:t xml:space="preserve">regress </w:t>
      </w:r>
      <w:r w:rsidR="00665F51">
        <w:rPr>
          <w:sz w:val="22"/>
          <w:szCs w:val="22"/>
        </w:rPr>
        <w:t xml:space="preserve">changes in the </w:t>
      </w:r>
      <w:r>
        <w:rPr>
          <w:sz w:val="22"/>
          <w:szCs w:val="22"/>
        </w:rPr>
        <w:t xml:space="preserve">major dependent variables </w:t>
      </w:r>
      <w:r w:rsidR="00665F51">
        <w:rPr>
          <w:sz w:val="22"/>
          <w:szCs w:val="22"/>
        </w:rPr>
        <w:t>between</w:t>
      </w:r>
      <w:r>
        <w:rPr>
          <w:sz w:val="22"/>
          <w:szCs w:val="22"/>
        </w:rPr>
        <w:t xml:space="preserve"> 1990 </w:t>
      </w:r>
      <w:r w:rsidR="00665F51">
        <w:rPr>
          <w:sz w:val="22"/>
          <w:szCs w:val="22"/>
        </w:rPr>
        <w:t xml:space="preserve">and </w:t>
      </w:r>
      <w:r>
        <w:rPr>
          <w:sz w:val="22"/>
          <w:szCs w:val="22"/>
        </w:rPr>
        <w:t>2000 on future changes</w:t>
      </w:r>
      <w:r w:rsidR="00665F51">
        <w:rPr>
          <w:sz w:val="22"/>
          <w:szCs w:val="22"/>
        </w:rPr>
        <w:t>, changes between the year 2000 and 2007, in</w:t>
      </w:r>
      <w:r>
        <w:rPr>
          <w:sz w:val="22"/>
          <w:szCs w:val="22"/>
        </w:rPr>
        <w:t xml:space="preserve"> import exposure per worker. If the decline in public school expenditure</w:t>
      </w:r>
      <w:r w:rsidR="0046791E">
        <w:rPr>
          <w:sz w:val="22"/>
          <w:szCs w:val="22"/>
        </w:rPr>
        <w:t>s</w:t>
      </w:r>
      <w:r>
        <w:rPr>
          <w:sz w:val="22"/>
          <w:szCs w:val="22"/>
        </w:rPr>
        <w:t xml:space="preserve"> is driven by some other factor that is </w:t>
      </w:r>
      <w:r w:rsidR="0046791E">
        <w:rPr>
          <w:sz w:val="22"/>
          <w:szCs w:val="22"/>
        </w:rPr>
        <w:t>generally increasing over time in a way that is not perfectly correlated with the timing of imports from China, then I would expect</w:t>
      </w:r>
      <w:r>
        <w:rPr>
          <w:sz w:val="22"/>
          <w:szCs w:val="22"/>
        </w:rPr>
        <w:t xml:space="preserve"> </w:t>
      </w:r>
      <w:r w:rsidR="002166BA">
        <w:rPr>
          <w:sz w:val="22"/>
          <w:szCs w:val="22"/>
        </w:rPr>
        <w:t xml:space="preserve">positive and statistically </w:t>
      </w:r>
      <w:r>
        <w:rPr>
          <w:sz w:val="22"/>
          <w:szCs w:val="22"/>
        </w:rPr>
        <w:t xml:space="preserve">significant </w:t>
      </w:r>
      <w:r w:rsidR="002166BA">
        <w:rPr>
          <w:sz w:val="22"/>
          <w:szCs w:val="22"/>
        </w:rPr>
        <w:t>estimates</w:t>
      </w:r>
      <w:r>
        <w:rPr>
          <w:sz w:val="22"/>
          <w:szCs w:val="22"/>
        </w:rPr>
        <w:t xml:space="preserve">. However, if the import competition is the </w:t>
      </w:r>
      <w:r w:rsidR="002166BA">
        <w:rPr>
          <w:sz w:val="22"/>
          <w:szCs w:val="22"/>
        </w:rPr>
        <w:t xml:space="preserve">cause of the </w:t>
      </w:r>
      <w:r>
        <w:rPr>
          <w:sz w:val="22"/>
          <w:szCs w:val="22"/>
        </w:rPr>
        <w:t xml:space="preserve">decrease in school expenditure, then future changes in import </w:t>
      </w:r>
      <w:r w:rsidR="002166BA">
        <w:rPr>
          <w:sz w:val="22"/>
          <w:szCs w:val="22"/>
        </w:rPr>
        <w:t xml:space="preserve">competition </w:t>
      </w:r>
      <w:r w:rsidR="0046791E">
        <w:rPr>
          <w:sz w:val="22"/>
          <w:szCs w:val="22"/>
        </w:rPr>
        <w:t xml:space="preserve">would not be able to </w:t>
      </w:r>
      <w:r>
        <w:rPr>
          <w:sz w:val="22"/>
          <w:szCs w:val="22"/>
        </w:rPr>
        <w:t>explain past changes in school expenditure</w:t>
      </w:r>
      <w:r w:rsidR="0046791E">
        <w:rPr>
          <w:sz w:val="22"/>
          <w:szCs w:val="22"/>
        </w:rPr>
        <w:t>s</w:t>
      </w:r>
      <w:r>
        <w:rPr>
          <w:sz w:val="22"/>
          <w:szCs w:val="22"/>
        </w:rPr>
        <w:t>. Results are reported in Table 10. None of the estimates is statistically significant</w:t>
      </w:r>
      <w:r w:rsidR="0046791E">
        <w:rPr>
          <w:sz w:val="22"/>
          <w:szCs w:val="22"/>
        </w:rPr>
        <w:t xml:space="preserve"> providing</w:t>
      </w:r>
      <w:r w:rsidR="00BD5026">
        <w:rPr>
          <w:sz w:val="22"/>
          <w:szCs w:val="22"/>
        </w:rPr>
        <w:t xml:space="preserve"> evidence that </w:t>
      </w:r>
      <w:r w:rsidR="0046791E">
        <w:rPr>
          <w:sz w:val="22"/>
          <w:szCs w:val="22"/>
        </w:rPr>
        <w:t xml:space="preserve">it is </w:t>
      </w:r>
      <w:r>
        <w:rPr>
          <w:sz w:val="22"/>
          <w:szCs w:val="22"/>
        </w:rPr>
        <w:t xml:space="preserve">import competition </w:t>
      </w:r>
      <w:r w:rsidR="00896801">
        <w:rPr>
          <w:sz w:val="22"/>
          <w:szCs w:val="22"/>
        </w:rPr>
        <w:t>decreas</w:t>
      </w:r>
      <w:r w:rsidR="0046791E">
        <w:rPr>
          <w:sz w:val="22"/>
          <w:szCs w:val="22"/>
        </w:rPr>
        <w:t>ing</w:t>
      </w:r>
      <w:r w:rsidR="00896801">
        <w:rPr>
          <w:sz w:val="22"/>
          <w:szCs w:val="22"/>
        </w:rPr>
        <w:t xml:space="preserve"> the education </w:t>
      </w:r>
      <w:r>
        <w:rPr>
          <w:sz w:val="22"/>
          <w:szCs w:val="22"/>
        </w:rPr>
        <w:t>expenditure</w:t>
      </w:r>
      <w:r w:rsidR="0046791E">
        <w:rPr>
          <w:sz w:val="22"/>
          <w:szCs w:val="22"/>
        </w:rPr>
        <w:t>s</w:t>
      </w:r>
      <w:r>
        <w:rPr>
          <w:sz w:val="22"/>
          <w:szCs w:val="22"/>
        </w:rPr>
        <w:t xml:space="preserve">. </w:t>
      </w:r>
      <w:r>
        <w:rPr>
          <w:rFonts w:hint="eastAsia"/>
          <w:sz w:val="22"/>
          <w:szCs w:val="22"/>
        </w:rPr>
        <w:t xml:space="preserve"> </w:t>
      </w:r>
    </w:p>
    <w:p w14:paraId="7DB312F0" w14:textId="277C8315" w:rsidR="00A20361" w:rsidRDefault="00FF450B" w:rsidP="00A20361">
      <w:pPr>
        <w:spacing w:after="100" w:line="340" w:lineRule="auto"/>
        <w:jc w:val="both"/>
        <w:rPr>
          <w:rFonts w:ascii="Times" w:hAnsi="Times" w:cs="Times"/>
          <w:i/>
          <w:color w:val="000000"/>
          <w:sz w:val="22"/>
          <w:szCs w:val="22"/>
        </w:rPr>
      </w:pPr>
      <w:r>
        <w:rPr>
          <w:rFonts w:ascii="Times" w:hAnsi="Times" w:cs="Times"/>
          <w:i/>
          <w:color w:val="000000"/>
          <w:sz w:val="22"/>
          <w:szCs w:val="22"/>
        </w:rPr>
        <w:t>6.</w:t>
      </w:r>
      <w:r w:rsidR="00A20361">
        <w:rPr>
          <w:rFonts w:ascii="Times" w:hAnsi="Times" w:cs="Times"/>
          <w:i/>
          <w:color w:val="000000"/>
          <w:sz w:val="22"/>
          <w:szCs w:val="22"/>
        </w:rPr>
        <w:t>2.</w:t>
      </w:r>
      <w:r w:rsidR="00A20361" w:rsidRPr="00DC0607">
        <w:rPr>
          <w:rFonts w:ascii="Times" w:hAnsi="Times" w:cs="Times"/>
          <w:i/>
          <w:color w:val="000000"/>
          <w:sz w:val="22"/>
          <w:szCs w:val="22"/>
        </w:rPr>
        <w:t xml:space="preserve"> </w:t>
      </w:r>
      <w:r w:rsidR="004D6E9F">
        <w:rPr>
          <w:rFonts w:ascii="Times" w:hAnsi="Times" w:cs="Times"/>
          <w:i/>
          <w:color w:val="000000"/>
          <w:sz w:val="22"/>
          <w:szCs w:val="22"/>
        </w:rPr>
        <w:t>Alternative Measures of Import Exposure</w:t>
      </w:r>
    </w:p>
    <w:p w14:paraId="7F2ADB60" w14:textId="5874F413" w:rsidR="00D62244" w:rsidRDefault="00D62244" w:rsidP="00D62244">
      <w:pPr>
        <w:spacing w:line="360" w:lineRule="auto"/>
        <w:jc w:val="both"/>
        <w:rPr>
          <w:sz w:val="22"/>
          <w:szCs w:val="22"/>
        </w:rPr>
      </w:pPr>
      <w:r>
        <w:rPr>
          <w:sz w:val="22"/>
          <w:szCs w:val="22"/>
        </w:rPr>
        <w:t xml:space="preserve">            In this section, I use alternative measures of import exposure to check the robustness of </w:t>
      </w:r>
      <w:r w:rsidR="0046791E">
        <w:rPr>
          <w:sz w:val="22"/>
          <w:szCs w:val="22"/>
        </w:rPr>
        <w:t>the</w:t>
      </w:r>
      <w:r>
        <w:rPr>
          <w:sz w:val="22"/>
          <w:szCs w:val="22"/>
        </w:rPr>
        <w:t xml:space="preserve"> results. </w:t>
      </w:r>
      <w:r w:rsidR="0046791E">
        <w:rPr>
          <w:sz w:val="22"/>
          <w:szCs w:val="22"/>
        </w:rPr>
        <w:t xml:space="preserve">First, </w:t>
      </w:r>
      <w:r>
        <w:rPr>
          <w:sz w:val="22"/>
          <w:szCs w:val="22"/>
        </w:rPr>
        <w:t xml:space="preserve">I create </w:t>
      </w:r>
      <w:r w:rsidR="0046791E">
        <w:rPr>
          <w:sz w:val="22"/>
          <w:szCs w:val="22"/>
        </w:rPr>
        <w:t>a variable measuring the</w:t>
      </w:r>
      <w:r>
        <w:rPr>
          <w:sz w:val="22"/>
          <w:szCs w:val="22"/>
        </w:rPr>
        <w:t xml:space="preserve"> change in </w:t>
      </w:r>
      <w:r w:rsidRPr="0046791E">
        <w:rPr>
          <w:i/>
          <w:sz w:val="22"/>
          <w:szCs w:val="22"/>
        </w:rPr>
        <w:t>net</w:t>
      </w:r>
      <w:r>
        <w:rPr>
          <w:sz w:val="22"/>
          <w:szCs w:val="22"/>
        </w:rPr>
        <w:t xml:space="preserve"> import exposure per-worker by subtracting US export</w:t>
      </w:r>
      <w:r w:rsidR="0046791E">
        <w:rPr>
          <w:sz w:val="22"/>
          <w:szCs w:val="22"/>
        </w:rPr>
        <w:t>s</w:t>
      </w:r>
      <w:r>
        <w:rPr>
          <w:sz w:val="22"/>
          <w:szCs w:val="22"/>
        </w:rPr>
        <w:t xml:space="preserve"> to China from US import</w:t>
      </w:r>
      <w:r w:rsidR="0046791E">
        <w:rPr>
          <w:sz w:val="22"/>
          <w:szCs w:val="22"/>
        </w:rPr>
        <w:t>s</w:t>
      </w:r>
      <w:r>
        <w:rPr>
          <w:sz w:val="22"/>
          <w:szCs w:val="22"/>
        </w:rPr>
        <w:t xml:space="preserve"> </w:t>
      </w:r>
      <w:r w:rsidR="0046791E">
        <w:rPr>
          <w:sz w:val="22"/>
          <w:szCs w:val="22"/>
        </w:rPr>
        <w:t>from</w:t>
      </w:r>
      <w:r>
        <w:rPr>
          <w:sz w:val="22"/>
          <w:szCs w:val="22"/>
        </w:rPr>
        <w:t xml:space="preserve"> China. The instrument is </w:t>
      </w:r>
      <w:r w:rsidR="0046791E">
        <w:rPr>
          <w:sz w:val="22"/>
          <w:szCs w:val="22"/>
        </w:rPr>
        <w:t xml:space="preserve">also </w:t>
      </w:r>
      <w:r>
        <w:rPr>
          <w:sz w:val="22"/>
          <w:szCs w:val="22"/>
        </w:rPr>
        <w:t xml:space="preserve">then changed to </w:t>
      </w:r>
      <w:r w:rsidR="0046791E">
        <w:rPr>
          <w:sz w:val="22"/>
          <w:szCs w:val="22"/>
        </w:rPr>
        <w:t xml:space="preserve">measure </w:t>
      </w:r>
      <w:r>
        <w:rPr>
          <w:sz w:val="22"/>
          <w:szCs w:val="22"/>
        </w:rPr>
        <w:t xml:space="preserve">the net import exposure per worker in </w:t>
      </w:r>
      <w:r w:rsidR="0046791E">
        <w:rPr>
          <w:sz w:val="22"/>
          <w:szCs w:val="22"/>
        </w:rPr>
        <w:t xml:space="preserve">the </w:t>
      </w:r>
      <w:r>
        <w:rPr>
          <w:sz w:val="22"/>
          <w:szCs w:val="22"/>
        </w:rPr>
        <w:t xml:space="preserve">other eight high income countries.  Results are reported in Panel B of Table </w:t>
      </w:r>
      <w:r w:rsidR="00AE5552">
        <w:rPr>
          <w:sz w:val="22"/>
          <w:szCs w:val="22"/>
        </w:rPr>
        <w:t>A</w:t>
      </w:r>
      <w:r>
        <w:rPr>
          <w:sz w:val="22"/>
          <w:szCs w:val="22"/>
        </w:rPr>
        <w:t xml:space="preserve">1. As </w:t>
      </w:r>
      <w:r w:rsidR="0046791E">
        <w:rPr>
          <w:sz w:val="22"/>
          <w:szCs w:val="22"/>
        </w:rPr>
        <w:t>can be seen in the table</w:t>
      </w:r>
      <w:r>
        <w:rPr>
          <w:sz w:val="22"/>
          <w:szCs w:val="22"/>
        </w:rPr>
        <w:t>, after taking exports into account, the results are still consistent with my former results.</w:t>
      </w:r>
    </w:p>
    <w:p w14:paraId="6EBD8229" w14:textId="53E3471A" w:rsidR="00D62244" w:rsidRPr="00DC0607" w:rsidRDefault="00D62244" w:rsidP="00D62244">
      <w:pPr>
        <w:spacing w:line="360" w:lineRule="auto"/>
        <w:jc w:val="both"/>
        <w:rPr>
          <w:sz w:val="22"/>
          <w:szCs w:val="22"/>
        </w:rPr>
      </w:pPr>
      <w:r>
        <w:rPr>
          <w:sz w:val="22"/>
          <w:szCs w:val="22"/>
        </w:rPr>
        <w:lastRenderedPageBreak/>
        <w:t xml:space="preserve">            I then use other two alternative measures to check the validity of the IV. The validity of the instrument used in the paper relies on the assumption that in the other eight high income countries, the increase in import from China is not driven by any U.S. driven demand shocks, but rather by exogenous supply shocks stemming from changes in China. If this condition is violated, the coefficient estimates will be biased.</w:t>
      </w:r>
    </w:p>
    <w:p w14:paraId="7653037B" w14:textId="19C459D1" w:rsidR="00A20361" w:rsidRPr="00BF57CD" w:rsidRDefault="00A20361" w:rsidP="00A20361">
      <w:pPr>
        <w:spacing w:line="360" w:lineRule="auto"/>
        <w:jc w:val="both"/>
        <w:rPr>
          <w:sz w:val="22"/>
          <w:szCs w:val="22"/>
        </w:rPr>
      </w:pPr>
      <w:r>
        <w:rPr>
          <w:sz w:val="22"/>
          <w:szCs w:val="22"/>
        </w:rPr>
        <w:t xml:space="preserve">            </w:t>
      </w:r>
      <w:r w:rsidR="00D62244">
        <w:rPr>
          <w:sz w:val="22"/>
          <w:szCs w:val="22"/>
        </w:rPr>
        <w:t>F</w:t>
      </w:r>
      <w:r>
        <w:rPr>
          <w:sz w:val="22"/>
          <w:szCs w:val="22"/>
        </w:rPr>
        <w:t xml:space="preserve">ollowing Yi et al. </w:t>
      </w:r>
      <w:r w:rsidR="004D6E9F">
        <w:rPr>
          <w:sz w:val="22"/>
          <w:szCs w:val="22"/>
        </w:rPr>
        <w:t>(</w:t>
      </w:r>
      <w:r>
        <w:rPr>
          <w:sz w:val="22"/>
          <w:szCs w:val="22"/>
        </w:rPr>
        <w:t>2018</w:t>
      </w:r>
      <w:r w:rsidR="004D6E9F">
        <w:rPr>
          <w:sz w:val="22"/>
          <w:szCs w:val="22"/>
        </w:rPr>
        <w:t>)</w:t>
      </w:r>
      <w:r>
        <w:rPr>
          <w:sz w:val="22"/>
          <w:szCs w:val="22"/>
        </w:rPr>
        <w:t xml:space="preserve">, I consider two import shocks </w:t>
      </w:r>
      <w:r w:rsidR="00D92C08">
        <w:rPr>
          <w:sz w:val="22"/>
          <w:szCs w:val="22"/>
        </w:rPr>
        <w:t xml:space="preserve">that </w:t>
      </w:r>
      <w:r>
        <w:rPr>
          <w:sz w:val="22"/>
          <w:szCs w:val="22"/>
        </w:rPr>
        <w:t>happen</w:t>
      </w:r>
      <w:r w:rsidR="00D92C08">
        <w:rPr>
          <w:sz w:val="22"/>
          <w:szCs w:val="22"/>
        </w:rPr>
        <w:t>ed</w:t>
      </w:r>
      <w:r>
        <w:rPr>
          <w:sz w:val="22"/>
          <w:szCs w:val="22"/>
        </w:rPr>
        <w:t xml:space="preserve"> during 1990-2007. The first shock is the increase in demand for computers. In this period, high-income countries not only imported </w:t>
      </w:r>
      <w:r w:rsidR="00D92C08">
        <w:rPr>
          <w:sz w:val="22"/>
          <w:szCs w:val="22"/>
        </w:rPr>
        <w:t xml:space="preserve">computers </w:t>
      </w:r>
      <w:r>
        <w:rPr>
          <w:sz w:val="22"/>
          <w:szCs w:val="22"/>
        </w:rPr>
        <w:t>from China but also developed their own computer industries. In Panel C of T</w:t>
      </w:r>
      <w:r>
        <w:rPr>
          <w:rFonts w:hint="eastAsia"/>
          <w:sz w:val="22"/>
          <w:szCs w:val="22"/>
        </w:rPr>
        <w:t>able</w:t>
      </w:r>
      <w:r>
        <w:rPr>
          <w:sz w:val="22"/>
          <w:szCs w:val="22"/>
        </w:rPr>
        <w:t xml:space="preserve"> </w:t>
      </w:r>
      <w:r w:rsidR="00AE5552">
        <w:rPr>
          <w:sz w:val="22"/>
          <w:szCs w:val="22"/>
        </w:rPr>
        <w:t>A</w:t>
      </w:r>
      <w:r>
        <w:rPr>
          <w:sz w:val="22"/>
          <w:szCs w:val="22"/>
        </w:rPr>
        <w:t>1, I exclude computer as well as related equipment industries when creating the import exposure variable</w:t>
      </w:r>
      <w:r w:rsidR="00E1058F">
        <w:rPr>
          <w:sz w:val="22"/>
          <w:szCs w:val="22"/>
        </w:rPr>
        <w:t>. The table shows that</w:t>
      </w:r>
      <w:r>
        <w:rPr>
          <w:sz w:val="22"/>
          <w:szCs w:val="22"/>
        </w:rPr>
        <w:t xml:space="preserve"> the magnitude of the estimates</w:t>
      </w:r>
      <w:r w:rsidR="00E1058F">
        <w:rPr>
          <w:sz w:val="22"/>
          <w:szCs w:val="22"/>
        </w:rPr>
        <w:t xml:space="preserve"> increases suggesting that if anything, changes in computer demand are making it more difficult to identify an effect of trade shocks.  </w:t>
      </w:r>
      <w:r>
        <w:rPr>
          <w:sz w:val="22"/>
          <w:szCs w:val="22"/>
        </w:rPr>
        <w:t xml:space="preserve"> The second shock is the housing boom in high-income countries. With this shock, the demand for raw materials used in construction increase</w:t>
      </w:r>
      <w:r w:rsidR="00D92C08">
        <w:rPr>
          <w:sz w:val="22"/>
          <w:szCs w:val="22"/>
        </w:rPr>
        <w:t>d</w:t>
      </w:r>
      <w:r>
        <w:rPr>
          <w:sz w:val="22"/>
          <w:szCs w:val="22"/>
        </w:rPr>
        <w:t xml:space="preserve">, thus </w:t>
      </w:r>
      <w:r w:rsidR="00E1058F">
        <w:rPr>
          <w:sz w:val="22"/>
          <w:szCs w:val="22"/>
        </w:rPr>
        <w:t xml:space="preserve">encouraging </w:t>
      </w:r>
      <w:r>
        <w:rPr>
          <w:sz w:val="22"/>
          <w:szCs w:val="22"/>
        </w:rPr>
        <w:t xml:space="preserve">all countries to develop related industries. In Panel D, I exclude the industries related to construction, and </w:t>
      </w:r>
      <w:r w:rsidR="00E1058F">
        <w:rPr>
          <w:sz w:val="22"/>
          <w:szCs w:val="22"/>
        </w:rPr>
        <w:t xml:space="preserve">again </w:t>
      </w:r>
      <w:r>
        <w:rPr>
          <w:sz w:val="22"/>
          <w:szCs w:val="22"/>
        </w:rPr>
        <w:t xml:space="preserve">the estimates are also greater in magnitude than the baseline results.  </w:t>
      </w:r>
      <w:r w:rsidR="00375917">
        <w:rPr>
          <w:sz w:val="22"/>
          <w:szCs w:val="22"/>
        </w:rPr>
        <w:t xml:space="preserve">Together these results may be viewed as evidence that demand shocks are not likely to be major drivers of our results. They may attenuate our results but not by that much. </w:t>
      </w:r>
    </w:p>
    <w:p w14:paraId="69B98D00" w14:textId="77777777" w:rsidR="00A20361" w:rsidRDefault="00A20361" w:rsidP="00A20361">
      <w:pPr>
        <w:rPr>
          <w:sz w:val="22"/>
          <w:szCs w:val="22"/>
        </w:rPr>
      </w:pPr>
    </w:p>
    <w:p w14:paraId="0E633B01" w14:textId="2772F239" w:rsidR="00A20361" w:rsidRPr="000C0D6C" w:rsidRDefault="00FF450B" w:rsidP="00A20361">
      <w:pPr>
        <w:spacing w:line="360" w:lineRule="auto"/>
        <w:jc w:val="both"/>
        <w:rPr>
          <w:rFonts w:ascii="Times" w:hAnsi="Times" w:cs="Times"/>
          <w:b/>
          <w:color w:val="000000"/>
        </w:rPr>
      </w:pPr>
      <w:r w:rsidRPr="000C0D6C">
        <w:rPr>
          <w:rFonts w:ascii="Times" w:hAnsi="Times" w:cs="Times"/>
          <w:b/>
          <w:color w:val="000000"/>
        </w:rPr>
        <w:t>7</w:t>
      </w:r>
      <w:r w:rsidR="00A20361" w:rsidRPr="000C0D6C">
        <w:rPr>
          <w:rFonts w:ascii="Times" w:hAnsi="Times" w:cs="Times"/>
          <w:b/>
          <w:color w:val="000000"/>
        </w:rPr>
        <w:t xml:space="preserve">. </w:t>
      </w:r>
      <w:r w:rsidR="008D2B5A" w:rsidRPr="000C0D6C">
        <w:rPr>
          <w:rFonts w:ascii="Times" w:hAnsi="Times" w:cs="Times"/>
          <w:b/>
          <w:color w:val="000000"/>
        </w:rPr>
        <w:t xml:space="preserve">Do Different Levels of Government Compensate School Districts for Lost Revenues? </w:t>
      </w:r>
    </w:p>
    <w:p w14:paraId="0FDB4E76" w14:textId="29C0D740" w:rsidR="00A20361" w:rsidRPr="00821E80" w:rsidRDefault="00FF450B" w:rsidP="00A20361">
      <w:pPr>
        <w:widowControl w:val="0"/>
        <w:autoSpaceDE w:val="0"/>
        <w:autoSpaceDN w:val="0"/>
        <w:adjustRightInd w:val="0"/>
        <w:spacing w:after="100" w:line="340" w:lineRule="auto"/>
        <w:jc w:val="both"/>
        <w:rPr>
          <w:rFonts w:ascii="Times" w:hAnsi="Times"/>
          <w:i/>
          <w:sz w:val="22"/>
          <w:szCs w:val="22"/>
        </w:rPr>
      </w:pPr>
      <w:r>
        <w:rPr>
          <w:rFonts w:ascii="Times" w:hAnsi="Times"/>
          <w:i/>
          <w:sz w:val="22"/>
          <w:szCs w:val="22"/>
        </w:rPr>
        <w:t>7.</w:t>
      </w:r>
      <w:r w:rsidR="00A20361">
        <w:rPr>
          <w:rFonts w:ascii="Times" w:hAnsi="Times"/>
          <w:i/>
          <w:sz w:val="22"/>
          <w:szCs w:val="22"/>
        </w:rPr>
        <w:t>1</w:t>
      </w:r>
      <w:r w:rsidR="00A20361" w:rsidRPr="0055579D">
        <w:rPr>
          <w:rFonts w:ascii="Times" w:hAnsi="Times"/>
          <w:i/>
          <w:sz w:val="22"/>
          <w:szCs w:val="22"/>
        </w:rPr>
        <w:t>.</w:t>
      </w:r>
      <w:r w:rsidR="00A20361">
        <w:rPr>
          <w:rFonts w:ascii="Times" w:hAnsi="Times"/>
          <w:i/>
          <w:sz w:val="22"/>
          <w:szCs w:val="22"/>
        </w:rPr>
        <w:t xml:space="preserve"> </w:t>
      </w:r>
      <w:r w:rsidR="008D2B5A">
        <w:rPr>
          <w:rFonts w:ascii="Times" w:hAnsi="Times"/>
          <w:i/>
          <w:sz w:val="22"/>
          <w:szCs w:val="22"/>
        </w:rPr>
        <w:t xml:space="preserve">Do States Provide More Funding to Districts within the State Hardest Hit by Trade Shocks? </w:t>
      </w:r>
    </w:p>
    <w:p w14:paraId="6B5DC813" w14:textId="6EEC549B" w:rsidR="00A20361" w:rsidRPr="005B294B" w:rsidRDefault="00A20361" w:rsidP="00A20361">
      <w:pPr>
        <w:spacing w:line="360" w:lineRule="auto"/>
        <w:jc w:val="both"/>
        <w:rPr>
          <w:sz w:val="22"/>
          <w:szCs w:val="22"/>
        </w:rPr>
      </w:pPr>
      <w:r>
        <w:rPr>
          <w:sz w:val="22"/>
          <w:szCs w:val="22"/>
        </w:rPr>
        <w:t xml:space="preserve">            </w:t>
      </w:r>
      <w:r w:rsidRPr="005B294B">
        <w:rPr>
          <w:sz w:val="22"/>
          <w:szCs w:val="22"/>
        </w:rPr>
        <w:t>As discussed previously, a main</w:t>
      </w:r>
      <w:r w:rsidRPr="005B294B">
        <w:rPr>
          <w:rFonts w:hint="eastAsia"/>
          <w:sz w:val="22"/>
          <w:szCs w:val="22"/>
        </w:rPr>
        <w:t xml:space="preserve"> </w:t>
      </w:r>
      <w:r w:rsidRPr="005B294B">
        <w:rPr>
          <w:sz w:val="22"/>
          <w:szCs w:val="22"/>
        </w:rPr>
        <w:t>mechanism</w:t>
      </w:r>
      <w:r w:rsidRPr="005B294B">
        <w:rPr>
          <w:rFonts w:hint="eastAsia"/>
          <w:sz w:val="22"/>
          <w:szCs w:val="22"/>
        </w:rPr>
        <w:t xml:space="preserve"> </w:t>
      </w:r>
      <w:r w:rsidRPr="005B294B">
        <w:rPr>
          <w:sz w:val="22"/>
          <w:szCs w:val="22"/>
        </w:rPr>
        <w:t xml:space="preserve">through which </w:t>
      </w:r>
      <w:r w:rsidRPr="005B294B">
        <w:rPr>
          <w:rFonts w:hint="eastAsia"/>
          <w:sz w:val="22"/>
          <w:szCs w:val="22"/>
        </w:rPr>
        <w:t xml:space="preserve">import </w:t>
      </w:r>
      <w:r w:rsidRPr="005B294B">
        <w:rPr>
          <w:sz w:val="22"/>
          <w:szCs w:val="22"/>
        </w:rPr>
        <w:t>competition</w:t>
      </w:r>
      <w:r w:rsidRPr="005B294B">
        <w:rPr>
          <w:rFonts w:hint="eastAsia"/>
          <w:sz w:val="22"/>
          <w:szCs w:val="22"/>
        </w:rPr>
        <w:t xml:space="preserve"> negatively affect</w:t>
      </w:r>
      <w:r w:rsidR="008D2B5A">
        <w:rPr>
          <w:sz w:val="22"/>
          <w:szCs w:val="22"/>
        </w:rPr>
        <w:t>s</w:t>
      </w:r>
      <w:r w:rsidRPr="005B294B">
        <w:rPr>
          <w:rFonts w:hint="eastAsia"/>
          <w:sz w:val="22"/>
          <w:szCs w:val="22"/>
        </w:rPr>
        <w:t xml:space="preserve"> per-pupil revenue is </w:t>
      </w:r>
      <w:r>
        <w:rPr>
          <w:sz w:val="22"/>
          <w:szCs w:val="22"/>
        </w:rPr>
        <w:t>via</w:t>
      </w:r>
      <w:r w:rsidRPr="005B294B">
        <w:rPr>
          <w:rFonts w:hint="eastAsia"/>
          <w:sz w:val="22"/>
          <w:szCs w:val="22"/>
        </w:rPr>
        <w:t xml:space="preserve"> decrease</w:t>
      </w:r>
      <w:r>
        <w:rPr>
          <w:sz w:val="22"/>
          <w:szCs w:val="22"/>
        </w:rPr>
        <w:t>s</w:t>
      </w:r>
      <w:r w:rsidRPr="005B294B">
        <w:rPr>
          <w:rFonts w:hint="eastAsia"/>
          <w:sz w:val="22"/>
          <w:szCs w:val="22"/>
        </w:rPr>
        <w:t xml:space="preserve"> in school </w:t>
      </w:r>
      <w:r w:rsidR="008D2B5A">
        <w:rPr>
          <w:sz w:val="22"/>
          <w:szCs w:val="22"/>
        </w:rPr>
        <w:t>district funding</w:t>
      </w:r>
      <w:r w:rsidR="008D2B5A" w:rsidRPr="005B294B">
        <w:rPr>
          <w:rFonts w:hint="eastAsia"/>
          <w:sz w:val="22"/>
          <w:szCs w:val="22"/>
        </w:rPr>
        <w:t xml:space="preserve"> </w:t>
      </w:r>
      <w:r w:rsidRPr="005B294B">
        <w:rPr>
          <w:rFonts w:hint="eastAsia"/>
          <w:sz w:val="22"/>
          <w:szCs w:val="22"/>
        </w:rPr>
        <w:t xml:space="preserve">from state governments. </w:t>
      </w:r>
      <w:r w:rsidRPr="005B294B">
        <w:rPr>
          <w:sz w:val="22"/>
          <w:szCs w:val="22"/>
        </w:rPr>
        <w:t>States that were more negatively affected by Chinese import exposure have fewer funds to support</w:t>
      </w:r>
      <w:r>
        <w:rPr>
          <w:sz w:val="22"/>
          <w:szCs w:val="22"/>
        </w:rPr>
        <w:t xml:space="preserve"> public</w:t>
      </w:r>
      <w:r w:rsidRPr="005B294B">
        <w:rPr>
          <w:sz w:val="22"/>
          <w:szCs w:val="22"/>
        </w:rPr>
        <w:t xml:space="preserve"> education. </w:t>
      </w:r>
      <w:r w:rsidRPr="005B294B">
        <w:rPr>
          <w:rFonts w:hint="eastAsia"/>
          <w:sz w:val="22"/>
          <w:szCs w:val="22"/>
        </w:rPr>
        <w:t xml:space="preserve">However, </w:t>
      </w:r>
      <w:r>
        <w:rPr>
          <w:sz w:val="22"/>
          <w:szCs w:val="22"/>
        </w:rPr>
        <w:t xml:space="preserve">one of state governments’ tasks </w:t>
      </w:r>
      <w:r w:rsidR="00903470">
        <w:rPr>
          <w:sz w:val="22"/>
          <w:szCs w:val="22"/>
        </w:rPr>
        <w:t xml:space="preserve">may be </w:t>
      </w:r>
      <w:r>
        <w:rPr>
          <w:sz w:val="22"/>
          <w:szCs w:val="22"/>
        </w:rPr>
        <w:t>to smooth changes in public spending among different</w:t>
      </w:r>
      <w:r w:rsidRPr="005B294B">
        <w:rPr>
          <w:rFonts w:hint="eastAsia"/>
          <w:sz w:val="22"/>
          <w:szCs w:val="22"/>
        </w:rPr>
        <w:t xml:space="preserve"> </w:t>
      </w:r>
      <w:r>
        <w:rPr>
          <w:sz w:val="22"/>
          <w:szCs w:val="22"/>
        </w:rPr>
        <w:t xml:space="preserve">areas by reallocating sources. So, </w:t>
      </w:r>
      <w:r w:rsidRPr="005B294B">
        <w:rPr>
          <w:rFonts w:hint="eastAsia"/>
          <w:sz w:val="22"/>
          <w:szCs w:val="22"/>
        </w:rPr>
        <w:t xml:space="preserve">it is possible </w:t>
      </w:r>
      <w:r w:rsidRPr="005B294B">
        <w:rPr>
          <w:sz w:val="22"/>
          <w:szCs w:val="22"/>
        </w:rPr>
        <w:t>that</w:t>
      </w:r>
      <w:r w:rsidRPr="005B294B">
        <w:rPr>
          <w:rFonts w:hint="eastAsia"/>
          <w:sz w:val="22"/>
          <w:szCs w:val="22"/>
        </w:rPr>
        <w:t xml:space="preserve"> </w:t>
      </w:r>
      <w:r w:rsidRPr="005B294B">
        <w:rPr>
          <w:sz w:val="22"/>
          <w:szCs w:val="22"/>
        </w:rPr>
        <w:t xml:space="preserve">within a state, </w:t>
      </w:r>
      <w:r>
        <w:rPr>
          <w:sz w:val="22"/>
          <w:szCs w:val="22"/>
        </w:rPr>
        <w:t xml:space="preserve">commuting zones </w:t>
      </w:r>
      <w:r w:rsidRPr="005B294B">
        <w:rPr>
          <w:rFonts w:hint="eastAsia"/>
          <w:sz w:val="22"/>
          <w:szCs w:val="22"/>
        </w:rPr>
        <w:t xml:space="preserve">that are </w:t>
      </w:r>
      <w:r>
        <w:rPr>
          <w:sz w:val="22"/>
          <w:szCs w:val="22"/>
        </w:rPr>
        <w:t xml:space="preserve">mostly negatively </w:t>
      </w:r>
      <w:r w:rsidRPr="005B294B">
        <w:rPr>
          <w:rFonts w:hint="eastAsia"/>
          <w:sz w:val="22"/>
          <w:szCs w:val="22"/>
        </w:rPr>
        <w:t>affected</w:t>
      </w:r>
      <w:r>
        <w:rPr>
          <w:sz w:val="22"/>
          <w:szCs w:val="22"/>
        </w:rPr>
        <w:t xml:space="preserve"> </w:t>
      </w:r>
      <w:r w:rsidRPr="005B294B">
        <w:rPr>
          <w:sz w:val="22"/>
          <w:szCs w:val="22"/>
        </w:rPr>
        <w:t xml:space="preserve">by Chinse import competition </w:t>
      </w:r>
      <w:r w:rsidR="008D2B5A">
        <w:rPr>
          <w:sz w:val="22"/>
          <w:szCs w:val="22"/>
        </w:rPr>
        <w:t>are</w:t>
      </w:r>
      <w:r w:rsidRPr="005B294B">
        <w:rPr>
          <w:rFonts w:hint="eastAsia"/>
          <w:sz w:val="22"/>
          <w:szCs w:val="22"/>
        </w:rPr>
        <w:t xml:space="preserve"> </w:t>
      </w:r>
      <w:r w:rsidRPr="005B294B">
        <w:rPr>
          <w:sz w:val="22"/>
          <w:szCs w:val="22"/>
        </w:rPr>
        <w:t>compensated</w:t>
      </w:r>
      <w:r w:rsidRPr="005B294B">
        <w:rPr>
          <w:rFonts w:hint="eastAsia"/>
          <w:sz w:val="22"/>
          <w:szCs w:val="22"/>
        </w:rPr>
        <w:t xml:space="preserve"> </w:t>
      </w:r>
      <w:r w:rsidRPr="005B294B">
        <w:rPr>
          <w:sz w:val="22"/>
          <w:szCs w:val="22"/>
        </w:rPr>
        <w:t>with</w:t>
      </w:r>
      <w:r w:rsidRPr="005B294B">
        <w:rPr>
          <w:rFonts w:hint="eastAsia"/>
          <w:sz w:val="22"/>
          <w:szCs w:val="22"/>
        </w:rPr>
        <w:t xml:space="preserve"> </w:t>
      </w:r>
      <w:r w:rsidRPr="005B294B">
        <w:rPr>
          <w:sz w:val="22"/>
          <w:szCs w:val="22"/>
        </w:rPr>
        <w:t xml:space="preserve">a larger share of the potentially lower </w:t>
      </w:r>
      <w:r w:rsidRPr="005B294B">
        <w:rPr>
          <w:rFonts w:hint="eastAsia"/>
          <w:sz w:val="22"/>
          <w:szCs w:val="22"/>
        </w:rPr>
        <w:t>state revenue</w:t>
      </w:r>
      <w:r w:rsidRPr="005B294B">
        <w:rPr>
          <w:sz w:val="22"/>
          <w:szCs w:val="22"/>
        </w:rPr>
        <w:t xml:space="preserve">. </w:t>
      </w:r>
      <w:r w:rsidRPr="005B294B">
        <w:rPr>
          <w:rFonts w:hint="eastAsia"/>
          <w:sz w:val="22"/>
          <w:szCs w:val="22"/>
        </w:rPr>
        <w:t>T</w:t>
      </w:r>
      <w:r w:rsidRPr="005B294B">
        <w:rPr>
          <w:sz w:val="22"/>
          <w:szCs w:val="22"/>
        </w:rPr>
        <w:t xml:space="preserve">o examine </w:t>
      </w:r>
      <w:r w:rsidR="00D96588">
        <w:rPr>
          <w:sz w:val="22"/>
          <w:szCs w:val="22"/>
        </w:rPr>
        <w:t>whether this</w:t>
      </w:r>
      <w:r w:rsidRPr="005B294B">
        <w:rPr>
          <w:rFonts w:hint="eastAsia"/>
          <w:sz w:val="22"/>
          <w:szCs w:val="22"/>
        </w:rPr>
        <w:t xml:space="preserve"> is the case</w:t>
      </w:r>
      <w:r w:rsidRPr="005B294B">
        <w:rPr>
          <w:sz w:val="22"/>
          <w:szCs w:val="22"/>
        </w:rPr>
        <w:t>, I</w:t>
      </w:r>
      <w:r w:rsidRPr="005B294B">
        <w:rPr>
          <w:rFonts w:hint="eastAsia"/>
          <w:sz w:val="22"/>
          <w:szCs w:val="22"/>
        </w:rPr>
        <w:t xml:space="preserve"> </w:t>
      </w:r>
      <w:r>
        <w:rPr>
          <w:sz w:val="22"/>
          <w:szCs w:val="22"/>
        </w:rPr>
        <w:t>add</w:t>
      </w:r>
      <w:r w:rsidRPr="005B294B">
        <w:rPr>
          <w:sz w:val="22"/>
          <w:szCs w:val="22"/>
        </w:rPr>
        <w:t xml:space="preserve"> </w:t>
      </w:r>
      <w:r>
        <w:rPr>
          <w:sz w:val="22"/>
          <w:szCs w:val="22"/>
        </w:rPr>
        <w:t>state-by-year</w:t>
      </w:r>
      <w:r w:rsidRPr="005B294B">
        <w:rPr>
          <w:sz w:val="22"/>
          <w:szCs w:val="22"/>
        </w:rPr>
        <w:t xml:space="preserve"> fixed effects</w:t>
      </w:r>
      <w:r w:rsidRPr="005B294B">
        <w:rPr>
          <w:rStyle w:val="FootnoteReference"/>
          <w:sz w:val="22"/>
          <w:szCs w:val="22"/>
        </w:rPr>
        <w:footnoteReference w:id="19"/>
      </w:r>
      <w:r w:rsidRPr="005B294B">
        <w:rPr>
          <w:rFonts w:hint="eastAsia"/>
          <w:sz w:val="22"/>
          <w:szCs w:val="22"/>
        </w:rPr>
        <w:t xml:space="preserve"> </w:t>
      </w:r>
      <w:r w:rsidRPr="005B294B">
        <w:rPr>
          <w:sz w:val="22"/>
          <w:szCs w:val="22"/>
        </w:rPr>
        <w:t>to</w:t>
      </w:r>
      <w:r w:rsidRPr="005B294B">
        <w:rPr>
          <w:rFonts w:hint="eastAsia"/>
          <w:sz w:val="22"/>
          <w:szCs w:val="22"/>
        </w:rPr>
        <w:t xml:space="preserve"> </w:t>
      </w:r>
      <w:r>
        <w:rPr>
          <w:sz w:val="22"/>
          <w:szCs w:val="22"/>
        </w:rPr>
        <w:t>equation (1)</w:t>
      </w:r>
      <w:r w:rsidRPr="005B294B">
        <w:rPr>
          <w:sz w:val="22"/>
          <w:szCs w:val="22"/>
        </w:rPr>
        <w:t>:</w:t>
      </w:r>
    </w:p>
    <w:p w14:paraId="07D17E7C" w14:textId="30D9031B" w:rsidR="00A20361" w:rsidRPr="005B294B" w:rsidRDefault="00157748" w:rsidP="00A20361">
      <w:pPr>
        <w:spacing w:line="360" w:lineRule="auto"/>
        <w:jc w:val="center"/>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∆Edu</m:t>
            </m:r>
          </m:e>
          <m:sub>
            <m:r>
              <m:rPr>
                <m:sty m:val="p"/>
              </m:rPr>
              <w:rPr>
                <w:rFonts w:ascii="Cambria Math" w:hAnsi="Cambria Math"/>
                <w:sz w:val="22"/>
                <w:szCs w:val="22"/>
              </w:rPr>
              <m:t>i,t</m:t>
            </m:r>
          </m:sub>
          <m:sup/>
        </m:sSubSup>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1</m:t>
            </m:r>
          </m:sub>
        </m:sSub>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it</m:t>
            </m:r>
          </m:sub>
          <m:sup>
            <m:r>
              <w:rPr>
                <w:rFonts w:ascii="Cambria Math" w:hAnsi="Cambria Math"/>
                <w:sz w:val="22"/>
                <w:szCs w:val="22"/>
              </w:rPr>
              <m:t>u</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m:rPr>
                <m:sty m:val="p"/>
              </m:rPr>
              <w:rPr>
                <w:rFonts w:ascii="Cambria Math" w:hAnsi="Cambria Math"/>
                <w:sz w:val="22"/>
                <w:szCs w:val="22"/>
              </w:rPr>
              <m:t>X</m:t>
            </m:r>
          </m:e>
          <m:sub>
            <m:r>
              <m:rPr>
                <m:sty m:val="p"/>
              </m:rPr>
              <w:rPr>
                <w:rFonts w:ascii="Cambria Math" w:hAnsi="Cambria Math"/>
                <w:sz w:val="22"/>
                <w:szCs w:val="22"/>
              </w:rPr>
              <m:t>it</m:t>
            </m:r>
          </m:sub>
          <m:sup>
            <m:r>
              <m:rPr>
                <m:sty m:val="p"/>
              </m:rPr>
              <w:rPr>
                <w:rFonts w:ascii="Cambria Math" w:hAnsi="Cambria Math"/>
                <w:sz w:val="22"/>
                <w:szCs w:val="22"/>
              </w:rPr>
              <m:t>'</m:t>
            </m:r>
          </m:sup>
        </m:sSubSup>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γ</m:t>
            </m:r>
          </m:e>
          <m:sub>
            <m:r>
              <m:rPr>
                <m:sty m:val="p"/>
              </m:rPr>
              <w:rPr>
                <w:rFonts w:ascii="Cambria Math" w:hAnsi="Cambria Math"/>
                <w:sz w:val="22"/>
                <w:szCs w:val="22"/>
              </w:rPr>
              <m:t>st</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i,t</m:t>
            </m:r>
          </m:sub>
        </m:sSub>
      </m:oMath>
      <w:r w:rsidR="00A20361" w:rsidRPr="005B294B">
        <w:rPr>
          <w:rFonts w:hint="eastAsia"/>
          <w:sz w:val="22"/>
          <w:szCs w:val="22"/>
        </w:rPr>
        <w:t xml:space="preserve"> (2) </w:t>
      </w:r>
    </w:p>
    <w:p w14:paraId="1D92C771" w14:textId="7B76AB40" w:rsidR="00654051" w:rsidRDefault="00A20361" w:rsidP="00D92F78">
      <w:pPr>
        <w:spacing w:line="360" w:lineRule="auto"/>
        <w:jc w:val="both"/>
        <w:rPr>
          <w:sz w:val="22"/>
          <w:szCs w:val="22"/>
        </w:rPr>
      </w:pPr>
      <w:r>
        <w:rPr>
          <w:sz w:val="22"/>
          <w:szCs w:val="22"/>
        </w:rPr>
        <w:t xml:space="preserve">           </w:t>
      </w:r>
      <w:r w:rsidR="00586E8F">
        <w:rPr>
          <w:sz w:val="22"/>
          <w:szCs w:val="22"/>
        </w:rPr>
        <w:t xml:space="preserve">In </w:t>
      </w:r>
      <w:r w:rsidR="00654051">
        <w:rPr>
          <w:sz w:val="22"/>
          <w:szCs w:val="22"/>
        </w:rPr>
        <w:t>equation</w:t>
      </w:r>
      <w:r w:rsidR="00586E8F">
        <w:rPr>
          <w:sz w:val="22"/>
          <w:szCs w:val="22"/>
        </w:rPr>
        <w:t xml:space="preserve"> (2), if states do compensate the districts, then I expect the coefficient of interest to be positive, but if they do not, I expect the coefficient of interest to be close to zero. </w:t>
      </w:r>
      <w:r>
        <w:rPr>
          <w:sz w:val="22"/>
          <w:szCs w:val="22"/>
        </w:rPr>
        <w:t>Results are displayed in Table 7. Column (1)</w:t>
      </w:r>
      <w:r w:rsidRPr="005B294B">
        <w:rPr>
          <w:rFonts w:hint="eastAsia"/>
          <w:sz w:val="22"/>
          <w:szCs w:val="22"/>
        </w:rPr>
        <w:t xml:space="preserve"> shows that after controlling for </w:t>
      </w:r>
      <w:r w:rsidRPr="004C20DD">
        <w:rPr>
          <w:sz w:val="22"/>
          <w:szCs w:val="22"/>
        </w:rPr>
        <w:t>state-by-year fixed effects</w:t>
      </w:r>
      <w:r w:rsidRPr="005B294B">
        <w:rPr>
          <w:rFonts w:hint="eastAsia"/>
          <w:sz w:val="22"/>
          <w:szCs w:val="22"/>
        </w:rPr>
        <w:t>,</w:t>
      </w:r>
      <w:r w:rsidRPr="005B294B">
        <w:rPr>
          <w:sz w:val="22"/>
          <w:szCs w:val="22"/>
        </w:rPr>
        <w:t xml:space="preserve"> the magnitude of</w:t>
      </w:r>
      <w:r w:rsidRPr="005B294B">
        <w:rPr>
          <w:rFonts w:hint="eastAsia"/>
          <w:sz w:val="22"/>
          <w:szCs w:val="22"/>
        </w:rPr>
        <w:t xml:space="preserve"> the</w:t>
      </w:r>
      <w:r w:rsidRPr="005B294B">
        <w:rPr>
          <w:sz w:val="22"/>
          <w:szCs w:val="22"/>
        </w:rPr>
        <w:t xml:space="preserve"> </w:t>
      </w:r>
      <w:r>
        <w:rPr>
          <w:sz w:val="22"/>
          <w:szCs w:val="22"/>
        </w:rPr>
        <w:t xml:space="preserve">estimated </w:t>
      </w:r>
      <w:r w:rsidRPr="005B294B">
        <w:rPr>
          <w:rFonts w:hint="eastAsia"/>
          <w:sz w:val="22"/>
          <w:szCs w:val="22"/>
        </w:rPr>
        <w:t xml:space="preserve">coefficient </w:t>
      </w:r>
      <w:r>
        <w:rPr>
          <w:sz w:val="22"/>
          <w:szCs w:val="22"/>
        </w:rPr>
        <w:t xml:space="preserve">of total expenditure </w:t>
      </w:r>
      <w:r w:rsidRPr="005B294B">
        <w:rPr>
          <w:sz w:val="22"/>
          <w:szCs w:val="22"/>
        </w:rPr>
        <w:t>decrease</w:t>
      </w:r>
      <w:r>
        <w:rPr>
          <w:sz w:val="22"/>
          <w:szCs w:val="22"/>
        </w:rPr>
        <w:t>s</w:t>
      </w:r>
      <w:r w:rsidRPr="005B294B">
        <w:rPr>
          <w:rFonts w:hint="eastAsia"/>
          <w:sz w:val="22"/>
          <w:szCs w:val="22"/>
        </w:rPr>
        <w:t xml:space="preserve">, from -0.262 </w:t>
      </w:r>
      <w:r w:rsidRPr="005B294B">
        <w:rPr>
          <w:sz w:val="22"/>
          <w:szCs w:val="22"/>
        </w:rPr>
        <w:t xml:space="preserve">in </w:t>
      </w:r>
      <w:r w:rsidRPr="005B294B">
        <w:rPr>
          <w:rFonts w:hint="eastAsia"/>
          <w:sz w:val="22"/>
          <w:szCs w:val="22"/>
        </w:rPr>
        <w:t xml:space="preserve">Table </w:t>
      </w:r>
      <w:r>
        <w:rPr>
          <w:sz w:val="22"/>
          <w:szCs w:val="22"/>
        </w:rPr>
        <w:t>3</w:t>
      </w:r>
      <w:r w:rsidRPr="005B294B">
        <w:rPr>
          <w:sz w:val="22"/>
          <w:szCs w:val="22"/>
        </w:rPr>
        <w:t xml:space="preserve"> to -0.098, </w:t>
      </w:r>
      <w:r w:rsidR="008D2B5A">
        <w:rPr>
          <w:sz w:val="22"/>
          <w:szCs w:val="22"/>
        </w:rPr>
        <w:t xml:space="preserve">a more than </w:t>
      </w:r>
      <w:r w:rsidR="008D2B5A" w:rsidRPr="005B294B">
        <w:rPr>
          <w:rFonts w:hint="eastAsia"/>
          <w:sz w:val="22"/>
          <w:szCs w:val="22"/>
        </w:rPr>
        <w:t>6</w:t>
      </w:r>
      <w:r w:rsidR="008D2B5A">
        <w:rPr>
          <w:sz w:val="22"/>
          <w:szCs w:val="22"/>
        </w:rPr>
        <w:t>0</w:t>
      </w:r>
      <w:r w:rsidRPr="005B294B">
        <w:rPr>
          <w:rFonts w:hint="eastAsia"/>
          <w:sz w:val="22"/>
          <w:szCs w:val="22"/>
        </w:rPr>
        <w:t xml:space="preserve">% </w:t>
      </w:r>
      <w:r>
        <w:rPr>
          <w:sz w:val="22"/>
          <w:szCs w:val="22"/>
        </w:rPr>
        <w:t>drop</w:t>
      </w:r>
      <w:r w:rsidRPr="005B294B">
        <w:rPr>
          <w:rFonts w:hint="eastAsia"/>
          <w:sz w:val="22"/>
          <w:szCs w:val="22"/>
        </w:rPr>
        <w:t xml:space="preserve">. This </w:t>
      </w:r>
      <w:r w:rsidRPr="005B294B">
        <w:rPr>
          <w:sz w:val="22"/>
          <w:szCs w:val="22"/>
        </w:rPr>
        <w:t>implies</w:t>
      </w:r>
      <w:r w:rsidRPr="005B294B">
        <w:rPr>
          <w:rFonts w:hint="eastAsia"/>
          <w:sz w:val="22"/>
          <w:szCs w:val="22"/>
        </w:rPr>
        <w:t xml:space="preserve"> that </w:t>
      </w:r>
      <w:r w:rsidR="00A854BF">
        <w:rPr>
          <w:sz w:val="22"/>
          <w:szCs w:val="22"/>
        </w:rPr>
        <w:t xml:space="preserve">the bulk of the impacts on school expenditures is driven by cross-state variation in </w:t>
      </w:r>
      <w:r w:rsidR="00A854BF">
        <w:rPr>
          <w:sz w:val="22"/>
          <w:szCs w:val="22"/>
        </w:rPr>
        <w:lastRenderedPageBreak/>
        <w:t xml:space="preserve">commuting zone exposure to Chinese import competition. However, </w:t>
      </w:r>
      <w:r>
        <w:rPr>
          <w:sz w:val="22"/>
          <w:szCs w:val="22"/>
        </w:rPr>
        <w:t xml:space="preserve">even </w:t>
      </w:r>
      <w:r w:rsidR="00A854BF">
        <w:rPr>
          <w:sz w:val="22"/>
          <w:szCs w:val="22"/>
        </w:rPr>
        <w:t xml:space="preserve">making comparisons </w:t>
      </w:r>
      <w:r>
        <w:rPr>
          <w:sz w:val="22"/>
          <w:szCs w:val="22"/>
        </w:rPr>
        <w:t xml:space="preserve">within </w:t>
      </w:r>
      <w:r w:rsidRPr="005B294B">
        <w:rPr>
          <w:rFonts w:hint="eastAsia"/>
          <w:sz w:val="22"/>
          <w:szCs w:val="22"/>
        </w:rPr>
        <w:t>the same state</w:t>
      </w:r>
      <w:r>
        <w:rPr>
          <w:sz w:val="22"/>
          <w:szCs w:val="22"/>
        </w:rPr>
        <w:t xml:space="preserve">, </w:t>
      </w:r>
      <w:r w:rsidR="008D2B5A">
        <w:rPr>
          <w:sz w:val="22"/>
          <w:szCs w:val="22"/>
        </w:rPr>
        <w:t xml:space="preserve">school districts in </w:t>
      </w:r>
      <w:r>
        <w:rPr>
          <w:sz w:val="22"/>
          <w:szCs w:val="22"/>
        </w:rPr>
        <w:t xml:space="preserve">CZs hit </w:t>
      </w:r>
      <w:r w:rsidR="008D2B5A">
        <w:rPr>
          <w:sz w:val="22"/>
          <w:szCs w:val="22"/>
        </w:rPr>
        <w:t xml:space="preserve">harder </w:t>
      </w:r>
      <w:r>
        <w:rPr>
          <w:sz w:val="22"/>
          <w:szCs w:val="22"/>
        </w:rPr>
        <w:t xml:space="preserve">by import </w:t>
      </w:r>
      <w:r w:rsidR="008D2B5A">
        <w:rPr>
          <w:sz w:val="22"/>
          <w:szCs w:val="22"/>
        </w:rPr>
        <w:t xml:space="preserve">shocks </w:t>
      </w:r>
      <w:r w:rsidR="00A854BF">
        <w:rPr>
          <w:sz w:val="22"/>
          <w:szCs w:val="22"/>
        </w:rPr>
        <w:t xml:space="preserve">ended up </w:t>
      </w:r>
      <w:r w:rsidR="008D2B5A">
        <w:rPr>
          <w:sz w:val="22"/>
          <w:szCs w:val="22"/>
        </w:rPr>
        <w:t>spend</w:t>
      </w:r>
      <w:r w:rsidR="00A854BF">
        <w:rPr>
          <w:sz w:val="22"/>
          <w:szCs w:val="22"/>
        </w:rPr>
        <w:t>ing</w:t>
      </w:r>
      <w:r w:rsidR="008D2B5A">
        <w:rPr>
          <w:sz w:val="22"/>
          <w:szCs w:val="22"/>
        </w:rPr>
        <w:t xml:space="preserve"> less on their students than school districts in parts of the state that were not as affected by Chinese imports</w:t>
      </w:r>
      <w:r w:rsidRPr="005B294B">
        <w:rPr>
          <w:rFonts w:hint="eastAsia"/>
          <w:sz w:val="22"/>
          <w:szCs w:val="22"/>
        </w:rPr>
        <w:t xml:space="preserve">. </w:t>
      </w:r>
    </w:p>
    <w:p w14:paraId="0553CB60" w14:textId="77777777" w:rsidR="005D5ABC" w:rsidRDefault="00654051" w:rsidP="00A20361">
      <w:pPr>
        <w:spacing w:line="360" w:lineRule="auto"/>
        <w:jc w:val="both"/>
        <w:rPr>
          <w:sz w:val="22"/>
          <w:szCs w:val="22"/>
        </w:rPr>
      </w:pPr>
      <w:r>
        <w:rPr>
          <w:sz w:val="22"/>
          <w:szCs w:val="22"/>
        </w:rPr>
        <w:t xml:space="preserve">           </w:t>
      </w:r>
      <w:r w:rsidR="00586E8F">
        <w:rPr>
          <w:sz w:val="22"/>
          <w:szCs w:val="22"/>
        </w:rPr>
        <w:t xml:space="preserve">I then further </w:t>
      </w:r>
      <w:r w:rsidR="00A854BF">
        <w:rPr>
          <w:sz w:val="22"/>
          <w:szCs w:val="22"/>
        </w:rPr>
        <w:t>examine</w:t>
      </w:r>
      <w:r w:rsidR="00586E8F">
        <w:rPr>
          <w:sz w:val="22"/>
          <w:szCs w:val="22"/>
        </w:rPr>
        <w:t xml:space="preserve"> </w:t>
      </w:r>
      <w:r w:rsidR="00A20361">
        <w:rPr>
          <w:sz w:val="22"/>
          <w:szCs w:val="22"/>
        </w:rPr>
        <w:t>the effects on</w:t>
      </w:r>
      <w:r w:rsidR="00A20361" w:rsidRPr="005B294B">
        <w:rPr>
          <w:rFonts w:hint="eastAsia"/>
          <w:sz w:val="22"/>
          <w:szCs w:val="22"/>
        </w:rPr>
        <w:t xml:space="preserve"> revenues from different </w:t>
      </w:r>
      <w:r w:rsidR="00A20361" w:rsidRPr="005B294B">
        <w:rPr>
          <w:sz w:val="22"/>
          <w:szCs w:val="22"/>
        </w:rPr>
        <w:t>resources</w:t>
      </w:r>
      <w:r w:rsidR="00586E8F">
        <w:rPr>
          <w:sz w:val="22"/>
          <w:szCs w:val="22"/>
        </w:rPr>
        <w:t xml:space="preserve"> in</w:t>
      </w:r>
      <w:r w:rsidR="00586E8F" w:rsidRPr="005B294B">
        <w:rPr>
          <w:rFonts w:hint="eastAsia"/>
          <w:sz w:val="22"/>
          <w:szCs w:val="22"/>
        </w:rPr>
        <w:t xml:space="preserve"> </w:t>
      </w:r>
      <w:r w:rsidR="00586E8F">
        <w:rPr>
          <w:sz w:val="22"/>
          <w:szCs w:val="22"/>
        </w:rPr>
        <w:t>column (2) – (5).</w:t>
      </w:r>
      <w:r w:rsidR="00A20361" w:rsidRPr="005B294B">
        <w:rPr>
          <w:rFonts w:hint="eastAsia"/>
          <w:sz w:val="22"/>
          <w:szCs w:val="22"/>
        </w:rPr>
        <w:t xml:space="preserve"> </w:t>
      </w:r>
      <w:r w:rsidR="00586E8F">
        <w:rPr>
          <w:sz w:val="22"/>
          <w:szCs w:val="22"/>
        </w:rPr>
        <w:t>C</w:t>
      </w:r>
      <w:r w:rsidR="00A20361" w:rsidRPr="005B294B">
        <w:rPr>
          <w:rFonts w:hint="eastAsia"/>
          <w:sz w:val="22"/>
          <w:szCs w:val="22"/>
        </w:rPr>
        <w:t>olumn (</w:t>
      </w:r>
      <w:r w:rsidR="00A20361">
        <w:rPr>
          <w:sz w:val="22"/>
          <w:szCs w:val="22"/>
        </w:rPr>
        <w:t>2</w:t>
      </w:r>
      <w:r w:rsidR="00A20361" w:rsidRPr="005B294B">
        <w:rPr>
          <w:rFonts w:hint="eastAsia"/>
          <w:sz w:val="22"/>
          <w:szCs w:val="22"/>
        </w:rPr>
        <w:t xml:space="preserve">) shows </w:t>
      </w:r>
      <w:r w:rsidR="00A854BF">
        <w:rPr>
          <w:sz w:val="22"/>
          <w:szCs w:val="22"/>
        </w:rPr>
        <w:t xml:space="preserve">that </w:t>
      </w:r>
      <w:r w:rsidR="00A20361" w:rsidRPr="005B294B">
        <w:rPr>
          <w:rFonts w:hint="eastAsia"/>
          <w:sz w:val="22"/>
          <w:szCs w:val="22"/>
        </w:rPr>
        <w:t xml:space="preserve">the </w:t>
      </w:r>
      <w:r w:rsidR="00A20361">
        <w:rPr>
          <w:sz w:val="22"/>
          <w:szCs w:val="22"/>
        </w:rPr>
        <w:t xml:space="preserve">estimated </w:t>
      </w:r>
      <w:r w:rsidR="00A854BF">
        <w:rPr>
          <w:sz w:val="22"/>
          <w:szCs w:val="22"/>
        </w:rPr>
        <w:t>impact of import exposure on</w:t>
      </w:r>
      <w:r w:rsidR="00A20361">
        <w:rPr>
          <w:sz w:val="22"/>
          <w:szCs w:val="22"/>
        </w:rPr>
        <w:t xml:space="preserve"> total revenue </w:t>
      </w:r>
      <w:r w:rsidR="00A20361" w:rsidRPr="005B294B">
        <w:rPr>
          <w:rFonts w:hint="eastAsia"/>
          <w:sz w:val="22"/>
          <w:szCs w:val="22"/>
        </w:rPr>
        <w:t xml:space="preserve">drops from -0.250 in Table </w:t>
      </w:r>
      <w:r w:rsidR="00A20361">
        <w:rPr>
          <w:sz w:val="22"/>
          <w:szCs w:val="22"/>
        </w:rPr>
        <w:t>4</w:t>
      </w:r>
      <w:r w:rsidR="00A20361" w:rsidRPr="005B294B">
        <w:rPr>
          <w:rFonts w:hint="eastAsia"/>
          <w:sz w:val="22"/>
          <w:szCs w:val="22"/>
        </w:rPr>
        <w:t xml:space="preserve"> to -0.100</w:t>
      </w:r>
      <w:r w:rsidR="00A854BF">
        <w:rPr>
          <w:sz w:val="22"/>
          <w:szCs w:val="22"/>
        </w:rPr>
        <w:t xml:space="preserve">. The magnitude of the change </w:t>
      </w:r>
      <w:r w:rsidR="00A20361">
        <w:rPr>
          <w:sz w:val="22"/>
          <w:szCs w:val="22"/>
        </w:rPr>
        <w:t xml:space="preserve">is </w:t>
      </w:r>
      <w:r w:rsidR="00A20361" w:rsidRPr="005B294B">
        <w:rPr>
          <w:sz w:val="22"/>
          <w:szCs w:val="22"/>
        </w:rPr>
        <w:t>consistent</w:t>
      </w:r>
      <w:r w:rsidR="00A20361" w:rsidRPr="005B294B">
        <w:rPr>
          <w:rFonts w:hint="eastAsia"/>
          <w:sz w:val="22"/>
          <w:szCs w:val="22"/>
        </w:rPr>
        <w:t xml:space="preserve"> with </w:t>
      </w:r>
      <w:r w:rsidR="00A20361">
        <w:rPr>
          <w:sz w:val="22"/>
          <w:szCs w:val="22"/>
        </w:rPr>
        <w:t>the</w:t>
      </w:r>
      <w:r w:rsidR="00A20361" w:rsidRPr="005B294B">
        <w:rPr>
          <w:rFonts w:hint="eastAsia"/>
          <w:sz w:val="22"/>
          <w:szCs w:val="22"/>
        </w:rPr>
        <w:t xml:space="preserve"> result </w:t>
      </w:r>
      <w:r w:rsidR="00A20361">
        <w:rPr>
          <w:sz w:val="22"/>
          <w:szCs w:val="22"/>
        </w:rPr>
        <w:t>in column (1)</w:t>
      </w:r>
      <w:r w:rsidR="00A20361" w:rsidRPr="005B294B">
        <w:rPr>
          <w:rFonts w:hint="eastAsia"/>
          <w:sz w:val="22"/>
          <w:szCs w:val="22"/>
        </w:rPr>
        <w:t xml:space="preserve">. </w:t>
      </w:r>
      <w:r w:rsidR="00805C0A">
        <w:rPr>
          <w:sz w:val="22"/>
          <w:szCs w:val="22"/>
        </w:rPr>
        <w:t>Interestingly, when exploiting within state variation, the estimated impact of Chinese import exposure on school district revenues from local sources decreases in magnitude slightly when compared to estimates from models without the state-year fixed effects</w:t>
      </w:r>
      <w:r w:rsidR="005D5ABC">
        <w:rPr>
          <w:sz w:val="22"/>
          <w:szCs w:val="22"/>
        </w:rPr>
        <w:t xml:space="preserve"> </w:t>
      </w:r>
      <w:r w:rsidR="00805C0A">
        <w:rPr>
          <w:sz w:val="22"/>
          <w:szCs w:val="22"/>
        </w:rPr>
        <w:t xml:space="preserve">but becomes statistically significant. </w:t>
      </w:r>
      <w:r>
        <w:rPr>
          <w:sz w:val="22"/>
          <w:szCs w:val="22"/>
        </w:rPr>
        <w:t xml:space="preserve">This finding </w:t>
      </w:r>
      <w:r w:rsidR="00805C0A">
        <w:rPr>
          <w:sz w:val="22"/>
          <w:szCs w:val="22"/>
        </w:rPr>
        <w:t xml:space="preserve">that local governments in areas hit hardest by trade shocks spend less on schools </w:t>
      </w:r>
      <w:r>
        <w:rPr>
          <w:sz w:val="22"/>
          <w:szCs w:val="22"/>
        </w:rPr>
        <w:t xml:space="preserve">is consistent with the </w:t>
      </w:r>
      <w:r w:rsidR="00805C0A">
        <w:rPr>
          <w:sz w:val="22"/>
          <w:szCs w:val="22"/>
        </w:rPr>
        <w:t>result in</w:t>
      </w:r>
      <w:r>
        <w:rPr>
          <w:sz w:val="22"/>
          <w:szCs w:val="22"/>
        </w:rPr>
        <w:t xml:space="preserve"> </w:t>
      </w:r>
      <w:proofErr w:type="spellStart"/>
      <w:r w:rsidRPr="005B294B">
        <w:rPr>
          <w:rFonts w:hint="eastAsia"/>
          <w:sz w:val="22"/>
          <w:szCs w:val="22"/>
        </w:rPr>
        <w:t>Feler</w:t>
      </w:r>
      <w:proofErr w:type="spellEnd"/>
      <w:r w:rsidRPr="005B294B">
        <w:rPr>
          <w:rFonts w:hint="eastAsia"/>
          <w:sz w:val="22"/>
          <w:szCs w:val="22"/>
        </w:rPr>
        <w:t xml:space="preserve"> and Senses</w:t>
      </w:r>
      <w:r>
        <w:rPr>
          <w:sz w:val="22"/>
          <w:szCs w:val="22"/>
        </w:rPr>
        <w:t xml:space="preserve"> (</w:t>
      </w:r>
      <w:r w:rsidRPr="005B294B">
        <w:rPr>
          <w:rFonts w:hint="eastAsia"/>
          <w:sz w:val="22"/>
          <w:szCs w:val="22"/>
        </w:rPr>
        <w:t>2017</w:t>
      </w:r>
      <w:r>
        <w:rPr>
          <w:sz w:val="22"/>
          <w:szCs w:val="22"/>
        </w:rPr>
        <w:t xml:space="preserve">) that the import shocks </w:t>
      </w:r>
      <w:r w:rsidR="00805C0A">
        <w:rPr>
          <w:sz w:val="22"/>
          <w:szCs w:val="22"/>
        </w:rPr>
        <w:t>are associated with decreases in spending on schools by local governments</w:t>
      </w:r>
      <w:r>
        <w:rPr>
          <w:sz w:val="22"/>
          <w:szCs w:val="22"/>
        </w:rPr>
        <w:t xml:space="preserve">. </w:t>
      </w:r>
      <w:r w:rsidR="00456FA6">
        <w:rPr>
          <w:sz w:val="22"/>
          <w:szCs w:val="22"/>
        </w:rPr>
        <w:t>In column 4, I show estimates of the impact of export shocks on school funding from federal sources constructed from models with state-year fixed effects. Just like in Table 4, the estimate is practically zero and statistically insignificant reinforcing the conclusion that the federal government does not compensate school districts in areas hit hardest by trade shocks. I next examine whether states compensate school districts in commuting zones suffering more from Chinese import exposure. The estimate i</w:t>
      </w:r>
      <w:r w:rsidR="00CA767C">
        <w:rPr>
          <w:sz w:val="22"/>
          <w:szCs w:val="22"/>
        </w:rPr>
        <w:t>n</w:t>
      </w:r>
      <w:r w:rsidR="00A20361" w:rsidRPr="005B294B">
        <w:rPr>
          <w:rFonts w:hint="eastAsia"/>
          <w:sz w:val="22"/>
          <w:szCs w:val="22"/>
        </w:rPr>
        <w:t xml:space="preserve"> column (</w:t>
      </w:r>
      <w:r w:rsidR="00A20361">
        <w:rPr>
          <w:sz w:val="22"/>
          <w:szCs w:val="22"/>
        </w:rPr>
        <w:t>5</w:t>
      </w:r>
      <w:r w:rsidR="004449D6">
        <w:rPr>
          <w:sz w:val="22"/>
          <w:szCs w:val="22"/>
        </w:rPr>
        <w:t xml:space="preserve">) </w:t>
      </w:r>
      <w:r w:rsidR="00456FA6">
        <w:rPr>
          <w:sz w:val="22"/>
          <w:szCs w:val="22"/>
        </w:rPr>
        <w:t>is</w:t>
      </w:r>
      <w:r w:rsidR="00A20361" w:rsidRPr="005B294B">
        <w:rPr>
          <w:rFonts w:hint="eastAsia"/>
          <w:sz w:val="22"/>
          <w:szCs w:val="22"/>
        </w:rPr>
        <w:t xml:space="preserve"> </w:t>
      </w:r>
      <w:r w:rsidR="00A20361">
        <w:rPr>
          <w:sz w:val="22"/>
          <w:szCs w:val="22"/>
        </w:rPr>
        <w:t>close to zero</w:t>
      </w:r>
      <w:r w:rsidR="00A20361" w:rsidRPr="005B294B">
        <w:rPr>
          <w:rFonts w:hint="eastAsia"/>
          <w:sz w:val="22"/>
          <w:szCs w:val="22"/>
        </w:rPr>
        <w:t xml:space="preserve"> and </w:t>
      </w:r>
      <w:r w:rsidR="00456FA6">
        <w:rPr>
          <w:sz w:val="22"/>
          <w:szCs w:val="22"/>
        </w:rPr>
        <w:t xml:space="preserve">statistically </w:t>
      </w:r>
      <w:r w:rsidR="00A20361" w:rsidRPr="005B294B">
        <w:rPr>
          <w:rFonts w:hint="eastAsia"/>
          <w:sz w:val="22"/>
          <w:szCs w:val="22"/>
        </w:rPr>
        <w:t>insignificant</w:t>
      </w:r>
      <w:r w:rsidR="00CA767C">
        <w:rPr>
          <w:sz w:val="22"/>
          <w:szCs w:val="22"/>
        </w:rPr>
        <w:t xml:space="preserve">. </w:t>
      </w:r>
      <w:r w:rsidR="00456FA6">
        <w:rPr>
          <w:sz w:val="22"/>
          <w:szCs w:val="22"/>
        </w:rPr>
        <w:t>Taken together, t</w:t>
      </w:r>
      <w:r w:rsidR="00CA767C">
        <w:rPr>
          <w:sz w:val="22"/>
          <w:szCs w:val="22"/>
        </w:rPr>
        <w:t xml:space="preserve">his evidence indicates that, generally, </w:t>
      </w:r>
      <w:r w:rsidR="00456FA6">
        <w:rPr>
          <w:sz w:val="22"/>
          <w:szCs w:val="22"/>
        </w:rPr>
        <w:t xml:space="preserve">federal and </w:t>
      </w:r>
      <w:r w:rsidR="00CA767C">
        <w:rPr>
          <w:sz w:val="22"/>
          <w:szCs w:val="22"/>
        </w:rPr>
        <w:t xml:space="preserve">state governments do not </w:t>
      </w:r>
      <w:r w:rsidR="00456FA6">
        <w:rPr>
          <w:sz w:val="22"/>
          <w:szCs w:val="22"/>
        </w:rPr>
        <w:t xml:space="preserve">help </w:t>
      </w:r>
      <w:r w:rsidR="00CA767C">
        <w:rPr>
          <w:sz w:val="22"/>
          <w:szCs w:val="22"/>
        </w:rPr>
        <w:t xml:space="preserve">smooth </w:t>
      </w:r>
      <w:r w:rsidR="00456FA6">
        <w:rPr>
          <w:sz w:val="22"/>
          <w:szCs w:val="22"/>
        </w:rPr>
        <w:t>funding levels for school districts in commuting zones suffering trade induced job losses</w:t>
      </w:r>
      <w:r w:rsidR="00CA767C">
        <w:rPr>
          <w:sz w:val="22"/>
          <w:szCs w:val="22"/>
        </w:rPr>
        <w:t>.</w:t>
      </w:r>
      <w:r w:rsidR="00A20361">
        <w:rPr>
          <w:sz w:val="22"/>
          <w:szCs w:val="22"/>
        </w:rPr>
        <w:t xml:space="preserve">     </w:t>
      </w:r>
    </w:p>
    <w:p w14:paraId="063541E6" w14:textId="6D96F7D8" w:rsidR="004449D6" w:rsidRPr="005D5ABC" w:rsidRDefault="005D5ABC" w:rsidP="005D5ABC">
      <w:pPr>
        <w:widowControl w:val="0"/>
        <w:autoSpaceDE w:val="0"/>
        <w:autoSpaceDN w:val="0"/>
        <w:adjustRightInd w:val="0"/>
        <w:spacing w:after="100" w:line="340" w:lineRule="auto"/>
        <w:jc w:val="both"/>
        <w:rPr>
          <w:rFonts w:ascii="Times" w:hAnsi="Times"/>
          <w:i/>
          <w:sz w:val="22"/>
          <w:szCs w:val="22"/>
        </w:rPr>
      </w:pPr>
      <w:r>
        <w:rPr>
          <w:rFonts w:ascii="Times" w:hAnsi="Times"/>
          <w:i/>
          <w:sz w:val="22"/>
          <w:szCs w:val="22"/>
        </w:rPr>
        <w:t>7.2</w:t>
      </w:r>
      <w:r w:rsidRPr="0055579D">
        <w:rPr>
          <w:rFonts w:ascii="Times" w:hAnsi="Times"/>
          <w:i/>
          <w:sz w:val="22"/>
          <w:szCs w:val="22"/>
        </w:rPr>
        <w:t>.</w:t>
      </w:r>
      <w:r>
        <w:rPr>
          <w:rFonts w:ascii="Times" w:hAnsi="Times"/>
          <w:i/>
          <w:sz w:val="22"/>
          <w:szCs w:val="22"/>
        </w:rPr>
        <w:t xml:space="preserve"> Do</w:t>
      </w:r>
      <w:r w:rsidR="005D4521">
        <w:rPr>
          <w:rFonts w:ascii="Times" w:hAnsi="Times"/>
          <w:i/>
          <w:sz w:val="22"/>
          <w:szCs w:val="22"/>
        </w:rPr>
        <w:t>es</w:t>
      </w:r>
      <w:r>
        <w:rPr>
          <w:rFonts w:ascii="Times" w:hAnsi="Times"/>
          <w:i/>
          <w:sz w:val="22"/>
          <w:szCs w:val="22"/>
        </w:rPr>
        <w:t xml:space="preserve"> Stat</w:t>
      </w:r>
      <w:r w:rsidRPr="005D5ABC">
        <w:rPr>
          <w:rFonts w:ascii="Times" w:hAnsi="Times" w:hint="eastAsia"/>
          <w:i/>
          <w:sz w:val="22"/>
          <w:szCs w:val="22"/>
        </w:rPr>
        <w:t>e</w:t>
      </w:r>
      <w:r w:rsidRPr="005D5ABC">
        <w:rPr>
          <w:rFonts w:ascii="Times" w:hAnsi="Times"/>
          <w:i/>
          <w:sz w:val="22"/>
          <w:szCs w:val="22"/>
        </w:rPr>
        <w:t xml:space="preserve"> Revenue </w:t>
      </w:r>
      <w:r>
        <w:rPr>
          <w:rFonts w:ascii="Times" w:hAnsi="Times"/>
          <w:i/>
          <w:sz w:val="22"/>
          <w:szCs w:val="22"/>
        </w:rPr>
        <w:t>P</w:t>
      </w:r>
      <w:r w:rsidRPr="005D5ABC">
        <w:rPr>
          <w:rFonts w:ascii="Times" w:hAnsi="Times"/>
          <w:i/>
          <w:sz w:val="22"/>
          <w:szCs w:val="22"/>
        </w:rPr>
        <w:t xml:space="preserve">lay the </w:t>
      </w:r>
      <w:r>
        <w:rPr>
          <w:rFonts w:ascii="Times" w:hAnsi="Times"/>
          <w:i/>
          <w:sz w:val="22"/>
          <w:szCs w:val="22"/>
        </w:rPr>
        <w:t>M</w:t>
      </w:r>
      <w:r w:rsidRPr="005D5ABC">
        <w:rPr>
          <w:rFonts w:ascii="Times" w:hAnsi="Times"/>
          <w:i/>
          <w:sz w:val="22"/>
          <w:szCs w:val="22"/>
        </w:rPr>
        <w:t>ain Role?</w:t>
      </w:r>
      <w:r>
        <w:rPr>
          <w:rFonts w:ascii="Times" w:hAnsi="Times"/>
          <w:i/>
          <w:sz w:val="22"/>
          <w:szCs w:val="22"/>
        </w:rPr>
        <w:t xml:space="preserve"> </w:t>
      </w:r>
      <w:r w:rsidR="00A20361">
        <w:rPr>
          <w:sz w:val="22"/>
          <w:szCs w:val="22"/>
        </w:rPr>
        <w:t xml:space="preserve">        </w:t>
      </w:r>
    </w:p>
    <w:p w14:paraId="59A5B85E" w14:textId="5DCAC49E" w:rsidR="00A20361" w:rsidRPr="005B294B" w:rsidRDefault="004449D6" w:rsidP="00A20361">
      <w:pPr>
        <w:spacing w:line="360" w:lineRule="auto"/>
        <w:jc w:val="both"/>
        <w:rPr>
          <w:sz w:val="22"/>
          <w:szCs w:val="22"/>
        </w:rPr>
      </w:pPr>
      <w:r>
        <w:rPr>
          <w:sz w:val="22"/>
          <w:szCs w:val="22"/>
        </w:rPr>
        <w:t xml:space="preserve">            </w:t>
      </w:r>
      <w:r w:rsidR="00456FA6">
        <w:rPr>
          <w:sz w:val="22"/>
          <w:szCs w:val="22"/>
        </w:rPr>
        <w:t xml:space="preserve">For further evidence </w:t>
      </w:r>
      <w:r w:rsidR="00F7716C">
        <w:rPr>
          <w:sz w:val="22"/>
          <w:szCs w:val="22"/>
        </w:rPr>
        <w:t xml:space="preserve">that our baseline results are driven by changes in state funding of school districts, I next estimate a state-level, instead of commuting zone, level model. For this model, I create a state-level measure of Chinse import exposure using </w:t>
      </w:r>
      <w:r w:rsidR="00F7716C" w:rsidRPr="00F7716C">
        <w:rPr>
          <w:sz w:val="22"/>
          <w:szCs w:val="22"/>
        </w:rPr>
        <w:t xml:space="preserve">the same </w:t>
      </w:r>
      <w:r w:rsidR="00F7716C">
        <w:rPr>
          <w:sz w:val="22"/>
          <w:szCs w:val="22"/>
        </w:rPr>
        <w:t xml:space="preserve">basic </w:t>
      </w:r>
      <w:r w:rsidR="00F7716C" w:rsidRPr="00F7716C">
        <w:rPr>
          <w:sz w:val="22"/>
          <w:szCs w:val="22"/>
        </w:rPr>
        <w:t xml:space="preserve">method described in data </w:t>
      </w:r>
      <w:r w:rsidRPr="00F7716C">
        <w:rPr>
          <w:sz w:val="22"/>
          <w:szCs w:val="22"/>
        </w:rPr>
        <w:t>section</w:t>
      </w:r>
      <w:r>
        <w:rPr>
          <w:sz w:val="22"/>
          <w:szCs w:val="22"/>
        </w:rPr>
        <w:t xml:space="preserve"> but</w:t>
      </w:r>
      <w:r w:rsidR="00F7716C" w:rsidRPr="00F7716C">
        <w:rPr>
          <w:sz w:val="22"/>
          <w:szCs w:val="22"/>
        </w:rPr>
        <w:t xml:space="preserve"> </w:t>
      </w:r>
      <w:r w:rsidR="00F7716C">
        <w:rPr>
          <w:sz w:val="22"/>
          <w:szCs w:val="22"/>
        </w:rPr>
        <w:t xml:space="preserve">replacing </w:t>
      </w:r>
      <w:r w:rsidR="00F7716C" w:rsidRPr="00F7716C">
        <w:rPr>
          <w:sz w:val="22"/>
          <w:szCs w:val="22"/>
        </w:rPr>
        <w:t xml:space="preserve">commuting-level employment </w:t>
      </w:r>
      <w:r w:rsidR="00F7716C">
        <w:rPr>
          <w:sz w:val="22"/>
          <w:szCs w:val="22"/>
        </w:rPr>
        <w:t xml:space="preserve">in the different industries with state-level </w:t>
      </w:r>
      <w:r w:rsidR="00F7716C" w:rsidRPr="00F7716C">
        <w:rPr>
          <w:sz w:val="22"/>
          <w:szCs w:val="22"/>
        </w:rPr>
        <w:t>employment</w:t>
      </w:r>
      <w:r w:rsidR="00F7716C">
        <w:rPr>
          <w:sz w:val="22"/>
          <w:szCs w:val="22"/>
        </w:rPr>
        <w:t xml:space="preserve"> in these industries. </w:t>
      </w:r>
      <w:r w:rsidR="00A20361" w:rsidRPr="005B294B">
        <w:rPr>
          <w:rFonts w:hint="eastAsia"/>
          <w:sz w:val="22"/>
          <w:szCs w:val="22"/>
        </w:rPr>
        <w:t xml:space="preserve">If the decrease in </w:t>
      </w:r>
      <w:r w:rsidR="00A20361" w:rsidRPr="005B294B">
        <w:rPr>
          <w:sz w:val="22"/>
          <w:szCs w:val="22"/>
        </w:rPr>
        <w:t xml:space="preserve">overall </w:t>
      </w:r>
      <w:r w:rsidR="00A20361" w:rsidRPr="005B294B">
        <w:rPr>
          <w:rFonts w:hint="eastAsia"/>
          <w:sz w:val="22"/>
          <w:szCs w:val="22"/>
        </w:rPr>
        <w:t xml:space="preserve">state revenue is the main </w:t>
      </w:r>
      <w:r w:rsidR="00A20361" w:rsidRPr="005B294B">
        <w:rPr>
          <w:sz w:val="22"/>
          <w:szCs w:val="22"/>
        </w:rPr>
        <w:t xml:space="preserve">mechanism driving </w:t>
      </w:r>
      <w:r w:rsidR="00F7716C">
        <w:rPr>
          <w:sz w:val="22"/>
          <w:szCs w:val="22"/>
        </w:rPr>
        <w:t xml:space="preserve">the </w:t>
      </w:r>
      <w:r w:rsidR="00A20361" w:rsidRPr="005B294B">
        <w:rPr>
          <w:sz w:val="22"/>
          <w:szCs w:val="22"/>
        </w:rPr>
        <w:t>variation in school expenditures</w:t>
      </w:r>
      <w:r w:rsidR="00A20361" w:rsidRPr="005B294B">
        <w:rPr>
          <w:rFonts w:hint="eastAsia"/>
          <w:sz w:val="22"/>
          <w:szCs w:val="22"/>
        </w:rPr>
        <w:t>, then a state level regression</w:t>
      </w:r>
      <w:r w:rsidR="00F7716C">
        <w:rPr>
          <w:sz w:val="22"/>
          <w:szCs w:val="22"/>
        </w:rPr>
        <w:t xml:space="preserve">, </w:t>
      </w:r>
      <w:r w:rsidR="00A20361">
        <w:rPr>
          <w:sz w:val="22"/>
          <w:szCs w:val="22"/>
        </w:rPr>
        <w:t xml:space="preserve">as </w:t>
      </w:r>
      <w:r w:rsidR="00F7716C">
        <w:rPr>
          <w:sz w:val="22"/>
          <w:szCs w:val="22"/>
        </w:rPr>
        <w:t xml:space="preserve">shown in </w:t>
      </w:r>
      <w:r w:rsidR="00A20361">
        <w:rPr>
          <w:sz w:val="22"/>
          <w:szCs w:val="22"/>
        </w:rPr>
        <w:t>equation (3)</w:t>
      </w:r>
      <w:r w:rsidR="00A20361" w:rsidRPr="005B294B">
        <w:rPr>
          <w:rFonts w:hint="eastAsia"/>
          <w:sz w:val="22"/>
          <w:szCs w:val="22"/>
        </w:rPr>
        <w:t xml:space="preserve"> </w:t>
      </w:r>
      <w:r w:rsidR="00F7716C">
        <w:rPr>
          <w:sz w:val="22"/>
          <w:szCs w:val="22"/>
        </w:rPr>
        <w:t>will yield estimates of the impact of trade shocks that are similar to those estimated in our baseline regression</w:t>
      </w:r>
      <w:r w:rsidR="00A20361" w:rsidRPr="005B294B">
        <w:rPr>
          <w:rFonts w:hint="eastAsia"/>
          <w:sz w:val="22"/>
          <w:szCs w:val="22"/>
        </w:rPr>
        <w:t xml:space="preserve">: </w:t>
      </w:r>
    </w:p>
    <w:p w14:paraId="459EC584" w14:textId="77777777" w:rsidR="00A20361" w:rsidRPr="005B294B" w:rsidRDefault="00157748" w:rsidP="00A20361">
      <w:pPr>
        <w:spacing w:line="360" w:lineRule="auto"/>
        <w:jc w:val="center"/>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∆Edu</m:t>
            </m:r>
          </m:e>
          <m:sub>
            <m:r>
              <m:rPr>
                <m:sty m:val="p"/>
              </m:rPr>
              <w:rPr>
                <w:rFonts w:ascii="Cambria Math" w:hAnsi="Cambria Math"/>
                <w:sz w:val="22"/>
                <w:szCs w:val="22"/>
              </w:rPr>
              <m:t>st</m:t>
            </m:r>
          </m:sub>
          <m:sup/>
        </m:sSubSup>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1</m:t>
            </m:r>
          </m:sub>
        </m:sSub>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st</m:t>
            </m:r>
          </m:sub>
          <m:sup>
            <m:r>
              <w:rPr>
                <w:rFonts w:ascii="Cambria Math" w:hAnsi="Cambria Math"/>
                <w:sz w:val="22"/>
                <w:szCs w:val="22"/>
              </w:rPr>
              <m:t>u</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m:rPr>
                <m:sty m:val="p"/>
              </m:rPr>
              <w:rPr>
                <w:rFonts w:ascii="Cambria Math" w:hAnsi="Cambria Math"/>
                <w:sz w:val="22"/>
                <w:szCs w:val="22"/>
              </w:rPr>
              <m:t>X</m:t>
            </m:r>
          </m:e>
          <m:sub>
            <m:r>
              <m:rPr>
                <m:sty m:val="p"/>
              </m:rPr>
              <w:rPr>
                <w:rFonts w:ascii="Cambria Math" w:hAnsi="Cambria Math"/>
                <w:sz w:val="22"/>
                <w:szCs w:val="22"/>
              </w:rPr>
              <m:t>st</m:t>
            </m:r>
          </m:sub>
          <m:sup>
            <m:r>
              <m:rPr>
                <m:sty m:val="p"/>
              </m:rPr>
              <w:rPr>
                <w:rFonts w:ascii="Cambria Math" w:hAnsi="Cambria Math"/>
                <w:sz w:val="22"/>
                <w:szCs w:val="22"/>
              </w:rPr>
              <m:t>'</m:t>
            </m:r>
          </m:sup>
        </m:sSubSup>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γ</m:t>
            </m:r>
          </m:e>
          <m:sub>
            <m:r>
              <m:rPr>
                <m:sty m:val="p"/>
              </m:rPr>
              <w:rPr>
                <w:rFonts w:ascii="Cambria Math" w:hAnsi="Cambria Math"/>
                <w:sz w:val="22"/>
                <w:szCs w:val="22"/>
              </w:rPr>
              <m:t>t</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st</m:t>
            </m:r>
          </m:sub>
        </m:sSub>
      </m:oMath>
      <w:r w:rsidR="00A20361" w:rsidRPr="005B294B">
        <w:rPr>
          <w:rFonts w:hint="eastAsia"/>
          <w:sz w:val="22"/>
          <w:szCs w:val="22"/>
        </w:rPr>
        <w:t xml:space="preserve"> (3)</w:t>
      </w:r>
    </w:p>
    <w:p w14:paraId="770C2AD9" w14:textId="31094FB3" w:rsidR="00A20361" w:rsidRPr="0055579D" w:rsidRDefault="00A20361" w:rsidP="00A20361">
      <w:pPr>
        <w:spacing w:line="360" w:lineRule="auto"/>
        <w:jc w:val="both"/>
        <w:rPr>
          <w:rFonts w:ascii="Times" w:hAnsi="Times"/>
          <w:i/>
          <w:sz w:val="22"/>
          <w:szCs w:val="22"/>
        </w:rPr>
      </w:pPr>
      <w:r w:rsidRPr="005B294B">
        <w:rPr>
          <w:sz w:val="22"/>
          <w:szCs w:val="22"/>
        </w:rPr>
        <w:t xml:space="preserve">Here, </w:t>
      </w:r>
      <w:r w:rsidRPr="005B294B">
        <w:rPr>
          <w:rFonts w:hint="eastAsia"/>
          <w:i/>
          <w:sz w:val="22"/>
          <w:szCs w:val="22"/>
        </w:rPr>
        <w:t>s</w:t>
      </w:r>
      <w:r w:rsidRPr="005B294B">
        <w:rPr>
          <w:rFonts w:hint="eastAsia"/>
          <w:sz w:val="22"/>
          <w:szCs w:val="22"/>
        </w:rPr>
        <w:t xml:space="preserve"> represents state</w:t>
      </w:r>
      <w:r w:rsidR="00B76CD4">
        <w:rPr>
          <w:sz w:val="22"/>
          <w:szCs w:val="22"/>
        </w:rPr>
        <w:t>,</w:t>
      </w:r>
      <w:r w:rsidR="00802103">
        <w:rPr>
          <w:sz w:val="22"/>
          <w:szCs w:val="22"/>
        </w:rPr>
        <w:t xml:space="preserve"> so</w:t>
      </w:r>
      <w:r w:rsidR="00B76CD4" w:rsidRPr="005B294B">
        <w:rPr>
          <w:rFonts w:hint="eastAsia"/>
          <w:sz w:val="22"/>
          <w:szCs w:val="22"/>
        </w:rPr>
        <w:t xml:space="preserve"> </w:t>
      </w:r>
      <m:oMath>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st</m:t>
            </m:r>
          </m:sub>
          <m:sup>
            <m:r>
              <w:rPr>
                <w:rFonts w:ascii="Cambria Math" w:hAnsi="Cambria Math"/>
                <w:sz w:val="22"/>
                <w:szCs w:val="22"/>
              </w:rPr>
              <m:t>u</m:t>
            </m:r>
          </m:sup>
        </m:sSubSup>
      </m:oMath>
      <w:r w:rsidRPr="005B294B">
        <w:rPr>
          <w:rFonts w:hint="eastAsia"/>
          <w:sz w:val="22"/>
          <w:szCs w:val="22"/>
        </w:rPr>
        <w:t xml:space="preserve"> is the change in import exposure in </w:t>
      </w:r>
      <w:proofErr w:type="spellStart"/>
      <w:r w:rsidRPr="005B294B">
        <w:rPr>
          <w:rFonts w:hint="eastAsia"/>
          <w:sz w:val="22"/>
          <w:szCs w:val="22"/>
        </w:rPr>
        <w:t xml:space="preserve">state </w:t>
      </w:r>
      <w:r w:rsidRPr="005B294B">
        <w:rPr>
          <w:rFonts w:hint="eastAsia"/>
          <w:i/>
          <w:sz w:val="22"/>
          <w:szCs w:val="22"/>
        </w:rPr>
        <w:t>s</w:t>
      </w:r>
      <w:proofErr w:type="spellEnd"/>
      <w:r w:rsidR="00B76CD4">
        <w:rPr>
          <w:sz w:val="22"/>
          <w:szCs w:val="22"/>
        </w:rPr>
        <w:t>,</w:t>
      </w:r>
      <w:r w:rsidR="00802103">
        <w:rPr>
          <w:sz w:val="22"/>
          <w:szCs w:val="22"/>
        </w:rPr>
        <w:t xml:space="preserve"> </w:t>
      </w:r>
      <w:r w:rsidR="00802103">
        <w:rPr>
          <w:rFonts w:ascii="Cambria Math" w:hAnsi="Cambria Math"/>
          <w:sz w:val="22"/>
          <w:szCs w:val="22"/>
        </w:rPr>
        <w:t>The left-hand side variable</w:t>
      </w:r>
      <w:r w:rsidRPr="005B294B">
        <w:rPr>
          <w:rFonts w:hint="eastAsia"/>
          <w:sz w:val="22"/>
          <w:szCs w:val="22"/>
        </w:rPr>
        <w:t xml:space="preserve"> </w:t>
      </w:r>
      <m:oMath>
        <m:sSubSup>
          <m:sSubSupPr>
            <m:ctrlPr>
              <w:rPr>
                <w:rFonts w:ascii="Cambria Math" w:hAnsi="Cambria Math"/>
                <w:sz w:val="22"/>
                <w:szCs w:val="22"/>
              </w:rPr>
            </m:ctrlPr>
          </m:sSubSupPr>
          <m:e>
            <m:r>
              <m:rPr>
                <m:sty m:val="p"/>
              </m:rPr>
              <w:rPr>
                <w:rFonts w:ascii="Cambria Math" w:hAnsi="Cambria Math"/>
                <w:sz w:val="22"/>
                <w:szCs w:val="22"/>
              </w:rPr>
              <m:t>∆Edu</m:t>
            </m:r>
          </m:e>
          <m:sub>
            <m:r>
              <m:rPr>
                <m:sty m:val="p"/>
              </m:rPr>
              <w:rPr>
                <w:rFonts w:ascii="Cambria Math" w:hAnsi="Cambria Math"/>
                <w:sz w:val="22"/>
                <w:szCs w:val="22"/>
              </w:rPr>
              <m:t>st</m:t>
            </m:r>
          </m:sub>
          <m:sup/>
        </m:sSubSup>
      </m:oMath>
      <w:r w:rsidRPr="005B294B">
        <w:rPr>
          <w:rFonts w:hint="eastAsia"/>
          <w:sz w:val="22"/>
          <w:szCs w:val="22"/>
        </w:rPr>
        <w:t xml:space="preserve"> is the per-pupil public education expenditure or revenue from state</w:t>
      </w:r>
      <w:r w:rsidRPr="005B294B">
        <w:rPr>
          <w:sz w:val="22"/>
          <w:szCs w:val="22"/>
        </w:rPr>
        <w:t xml:space="preserve">, </w:t>
      </w:r>
      <w:r w:rsidRPr="005B294B">
        <w:rPr>
          <w:rFonts w:hint="eastAsia"/>
          <w:sz w:val="22"/>
          <w:szCs w:val="22"/>
        </w:rPr>
        <w:t>federal</w:t>
      </w:r>
      <w:r w:rsidRPr="005B294B">
        <w:rPr>
          <w:sz w:val="22"/>
          <w:szCs w:val="22"/>
        </w:rPr>
        <w:t xml:space="preserve">, or </w:t>
      </w:r>
      <w:r w:rsidRPr="005B294B">
        <w:rPr>
          <w:rFonts w:hint="eastAsia"/>
          <w:sz w:val="22"/>
          <w:szCs w:val="22"/>
        </w:rPr>
        <w:t xml:space="preserve">local governments. </w:t>
      </w:r>
      <w:r w:rsidR="00880D49">
        <w:rPr>
          <w:sz w:val="22"/>
          <w:szCs w:val="22"/>
        </w:rPr>
        <w:t>T</w:t>
      </w:r>
      <w:r w:rsidRPr="005B294B">
        <w:rPr>
          <w:rFonts w:hint="eastAsia"/>
          <w:sz w:val="22"/>
          <w:szCs w:val="22"/>
        </w:rPr>
        <w:t>he set of start-of-period control</w:t>
      </w:r>
      <w:r w:rsidR="00880D49">
        <w:rPr>
          <w:sz w:val="22"/>
          <w:szCs w:val="22"/>
        </w:rPr>
        <w:t xml:space="preserve"> variables </w:t>
      </w:r>
      <m:oMath>
        <m:sSubSup>
          <m:sSubSupPr>
            <m:ctrlPr>
              <w:rPr>
                <w:rFonts w:ascii="Cambria Math" w:hAnsi="Cambria Math"/>
                <w:sz w:val="22"/>
                <w:szCs w:val="22"/>
              </w:rPr>
            </m:ctrlPr>
          </m:sSubSupPr>
          <m:e>
            <m:r>
              <m:rPr>
                <m:sty m:val="p"/>
              </m:rPr>
              <w:rPr>
                <w:rFonts w:ascii="Cambria Math" w:hAnsi="Cambria Math"/>
                <w:sz w:val="22"/>
                <w:szCs w:val="22"/>
              </w:rPr>
              <m:t>X</m:t>
            </m:r>
          </m:e>
          <m:sub>
            <m:r>
              <m:rPr>
                <m:sty m:val="p"/>
              </m:rPr>
              <w:rPr>
                <w:rFonts w:ascii="Cambria Math" w:hAnsi="Cambria Math"/>
                <w:sz w:val="22"/>
                <w:szCs w:val="22"/>
              </w:rPr>
              <m:t>st</m:t>
            </m:r>
          </m:sub>
          <m:sup>
            <m:r>
              <m:rPr>
                <m:sty m:val="p"/>
              </m:rPr>
              <w:rPr>
                <w:rFonts w:ascii="Cambria Math" w:hAnsi="Cambria Math"/>
                <w:sz w:val="22"/>
                <w:szCs w:val="22"/>
              </w:rPr>
              <m:t>'</m:t>
            </m:r>
          </m:sup>
        </m:sSubSup>
      </m:oMath>
      <w:r w:rsidR="00880D49" w:rsidRPr="005B294B">
        <w:rPr>
          <w:rFonts w:hint="eastAsia"/>
          <w:sz w:val="22"/>
          <w:szCs w:val="22"/>
        </w:rPr>
        <w:t xml:space="preserve"> </w:t>
      </w:r>
      <w:r w:rsidR="00880D49">
        <w:rPr>
          <w:sz w:val="22"/>
          <w:szCs w:val="22"/>
        </w:rPr>
        <w:t xml:space="preserve">are the same as in equation (1) but </w:t>
      </w:r>
      <w:r>
        <w:rPr>
          <w:sz w:val="22"/>
          <w:szCs w:val="22"/>
        </w:rPr>
        <w:t xml:space="preserve">created at the </w:t>
      </w:r>
      <w:r w:rsidRPr="005B294B">
        <w:rPr>
          <w:rFonts w:hint="eastAsia"/>
          <w:sz w:val="22"/>
          <w:szCs w:val="22"/>
        </w:rPr>
        <w:t>state level.</w:t>
      </w:r>
    </w:p>
    <w:p w14:paraId="033574DB" w14:textId="06EC242D" w:rsidR="00A20361" w:rsidRDefault="00A20361" w:rsidP="00A20361">
      <w:pPr>
        <w:spacing w:after="100" w:line="340" w:lineRule="auto"/>
        <w:jc w:val="both"/>
        <w:rPr>
          <w:sz w:val="22"/>
          <w:szCs w:val="22"/>
        </w:rPr>
      </w:pPr>
      <w:r>
        <w:rPr>
          <w:sz w:val="22"/>
          <w:szCs w:val="22"/>
        </w:rPr>
        <w:t xml:space="preserve">        </w:t>
      </w:r>
      <w:r w:rsidR="00654051">
        <w:rPr>
          <w:sz w:val="22"/>
          <w:szCs w:val="22"/>
        </w:rPr>
        <w:t xml:space="preserve">    </w:t>
      </w:r>
      <w:r>
        <w:rPr>
          <w:sz w:val="22"/>
          <w:szCs w:val="22"/>
        </w:rPr>
        <w:t>Results of equation (3) are displayed in Table 8.</w:t>
      </w:r>
      <w:r w:rsidRPr="005B294B">
        <w:rPr>
          <w:rFonts w:hint="eastAsia"/>
          <w:sz w:val="22"/>
          <w:szCs w:val="22"/>
        </w:rPr>
        <w:t xml:space="preserve"> </w:t>
      </w:r>
      <w:r w:rsidRPr="005B294B">
        <w:rPr>
          <w:sz w:val="22"/>
          <w:szCs w:val="22"/>
        </w:rPr>
        <w:t>C</w:t>
      </w:r>
      <w:r w:rsidRPr="005B294B">
        <w:rPr>
          <w:rFonts w:hint="eastAsia"/>
          <w:sz w:val="22"/>
          <w:szCs w:val="22"/>
        </w:rPr>
        <w:t>olumn (</w:t>
      </w:r>
      <w:r>
        <w:rPr>
          <w:sz w:val="22"/>
          <w:szCs w:val="22"/>
        </w:rPr>
        <w:t>1</w:t>
      </w:r>
      <w:r w:rsidRPr="005B294B">
        <w:rPr>
          <w:rFonts w:hint="eastAsia"/>
          <w:sz w:val="22"/>
          <w:szCs w:val="22"/>
        </w:rPr>
        <w:t xml:space="preserve">) in Table 8 shows that </w:t>
      </w:r>
      <w:r w:rsidR="00F7716C">
        <w:rPr>
          <w:sz w:val="22"/>
          <w:szCs w:val="22"/>
        </w:rPr>
        <w:t xml:space="preserve">a </w:t>
      </w:r>
      <w:r w:rsidRPr="005B294B">
        <w:rPr>
          <w:sz w:val="22"/>
          <w:szCs w:val="22"/>
        </w:rPr>
        <w:t>$1</w:t>
      </w:r>
      <w:r w:rsidR="00F7716C">
        <w:rPr>
          <w:sz w:val="22"/>
          <w:szCs w:val="22"/>
        </w:rPr>
        <w:t>,</w:t>
      </w:r>
      <w:r w:rsidRPr="005B294B">
        <w:rPr>
          <w:sz w:val="22"/>
          <w:szCs w:val="22"/>
        </w:rPr>
        <w:t>000</w:t>
      </w:r>
      <w:r w:rsidRPr="005B294B">
        <w:rPr>
          <w:rFonts w:hint="eastAsia"/>
          <w:sz w:val="22"/>
          <w:szCs w:val="22"/>
        </w:rPr>
        <w:t xml:space="preserve"> increase in the state</w:t>
      </w:r>
      <w:r w:rsidRPr="005B294B">
        <w:rPr>
          <w:sz w:val="22"/>
          <w:szCs w:val="22"/>
        </w:rPr>
        <w:t>’</w:t>
      </w:r>
      <w:r w:rsidRPr="005B294B">
        <w:rPr>
          <w:rFonts w:hint="eastAsia"/>
          <w:sz w:val="22"/>
          <w:szCs w:val="22"/>
        </w:rPr>
        <w:t xml:space="preserve">s </w:t>
      </w:r>
      <w:r w:rsidRPr="005B294B">
        <w:rPr>
          <w:sz w:val="22"/>
          <w:szCs w:val="22"/>
        </w:rPr>
        <w:t>import per worker</w:t>
      </w:r>
      <w:r w:rsidRPr="005B294B">
        <w:rPr>
          <w:rFonts w:hint="eastAsia"/>
          <w:sz w:val="22"/>
          <w:szCs w:val="22"/>
        </w:rPr>
        <w:t xml:space="preserve"> will decrease per-pupil total expenditure by $2</w:t>
      </w:r>
      <w:r w:rsidR="00EC204D">
        <w:rPr>
          <w:sz w:val="22"/>
          <w:szCs w:val="22"/>
        </w:rPr>
        <w:t>,</w:t>
      </w:r>
      <w:r w:rsidRPr="005B294B">
        <w:rPr>
          <w:rFonts w:hint="eastAsia"/>
          <w:sz w:val="22"/>
          <w:szCs w:val="22"/>
        </w:rPr>
        <w:t xml:space="preserve">348, a much larger number </w:t>
      </w:r>
      <w:r w:rsidRPr="005B294B">
        <w:rPr>
          <w:rFonts w:hint="eastAsia"/>
          <w:sz w:val="22"/>
          <w:szCs w:val="22"/>
        </w:rPr>
        <w:lastRenderedPageBreak/>
        <w:t xml:space="preserve">than </w:t>
      </w:r>
      <w:r w:rsidR="00EC204D">
        <w:rPr>
          <w:sz w:val="22"/>
          <w:szCs w:val="22"/>
        </w:rPr>
        <w:t>what was estimated using a commuting-zone level regression</w:t>
      </w:r>
      <w:r w:rsidRPr="005B294B">
        <w:rPr>
          <w:rFonts w:hint="eastAsia"/>
          <w:sz w:val="22"/>
          <w:szCs w:val="22"/>
        </w:rPr>
        <w:t>.</w:t>
      </w:r>
      <w:r w:rsidRPr="005B294B">
        <w:rPr>
          <w:rStyle w:val="FootnoteReference"/>
          <w:sz w:val="22"/>
          <w:szCs w:val="22"/>
        </w:rPr>
        <w:footnoteReference w:id="20"/>
      </w:r>
      <w:r w:rsidRPr="005B294B">
        <w:rPr>
          <w:rFonts w:hint="eastAsia"/>
          <w:sz w:val="22"/>
          <w:szCs w:val="22"/>
        </w:rPr>
        <w:t xml:space="preserve"> </w:t>
      </w:r>
      <w:r>
        <w:rPr>
          <w:sz w:val="22"/>
          <w:szCs w:val="22"/>
        </w:rPr>
        <w:t>Column (2) implies that for every</w:t>
      </w:r>
      <w:r w:rsidRPr="005B294B">
        <w:rPr>
          <w:rFonts w:hint="eastAsia"/>
          <w:sz w:val="22"/>
          <w:szCs w:val="22"/>
        </w:rPr>
        <w:t xml:space="preserve"> </w:t>
      </w:r>
      <w:r w:rsidRPr="005B294B">
        <w:rPr>
          <w:sz w:val="22"/>
          <w:szCs w:val="22"/>
        </w:rPr>
        <w:t>$1</w:t>
      </w:r>
      <w:r w:rsidR="00EC204D">
        <w:rPr>
          <w:sz w:val="22"/>
          <w:szCs w:val="22"/>
        </w:rPr>
        <w:t>,</w:t>
      </w:r>
      <w:r w:rsidRPr="005B294B">
        <w:rPr>
          <w:sz w:val="22"/>
          <w:szCs w:val="22"/>
        </w:rPr>
        <w:t>000</w:t>
      </w:r>
      <w:r w:rsidRPr="005B294B">
        <w:rPr>
          <w:rFonts w:hint="eastAsia"/>
          <w:sz w:val="22"/>
          <w:szCs w:val="22"/>
        </w:rPr>
        <w:t xml:space="preserve"> increase in the state</w:t>
      </w:r>
      <w:r w:rsidRPr="005B294B">
        <w:rPr>
          <w:sz w:val="22"/>
          <w:szCs w:val="22"/>
        </w:rPr>
        <w:t>’</w:t>
      </w:r>
      <w:r w:rsidRPr="005B294B">
        <w:rPr>
          <w:rFonts w:hint="eastAsia"/>
          <w:sz w:val="22"/>
          <w:szCs w:val="22"/>
        </w:rPr>
        <w:t xml:space="preserve">s </w:t>
      </w:r>
      <w:r w:rsidRPr="005B294B">
        <w:rPr>
          <w:sz w:val="22"/>
          <w:szCs w:val="22"/>
        </w:rPr>
        <w:t>import per worker</w:t>
      </w:r>
      <w:r>
        <w:rPr>
          <w:sz w:val="22"/>
          <w:szCs w:val="22"/>
        </w:rPr>
        <w:t>, there is a</w:t>
      </w:r>
      <w:r w:rsidRPr="005B294B">
        <w:rPr>
          <w:rFonts w:hint="eastAsia"/>
          <w:sz w:val="22"/>
          <w:szCs w:val="22"/>
        </w:rPr>
        <w:t xml:space="preserve"> decrease </w:t>
      </w:r>
      <w:r>
        <w:rPr>
          <w:sz w:val="22"/>
          <w:szCs w:val="22"/>
        </w:rPr>
        <w:t xml:space="preserve">in </w:t>
      </w:r>
      <w:r w:rsidRPr="005B294B">
        <w:rPr>
          <w:rFonts w:hint="eastAsia"/>
          <w:sz w:val="22"/>
          <w:szCs w:val="22"/>
        </w:rPr>
        <w:t>per-pupil total revenue by $2</w:t>
      </w:r>
      <w:r w:rsidR="00EC204D">
        <w:rPr>
          <w:sz w:val="22"/>
          <w:szCs w:val="22"/>
        </w:rPr>
        <w:t>,</w:t>
      </w:r>
      <w:r w:rsidRPr="005B294B">
        <w:rPr>
          <w:rFonts w:hint="eastAsia"/>
          <w:sz w:val="22"/>
          <w:szCs w:val="22"/>
        </w:rPr>
        <w:t>177</w:t>
      </w:r>
      <w:r>
        <w:rPr>
          <w:sz w:val="22"/>
          <w:szCs w:val="22"/>
        </w:rPr>
        <w:t xml:space="preserve">. </w:t>
      </w:r>
      <w:r w:rsidR="00EC204D">
        <w:rPr>
          <w:sz w:val="22"/>
          <w:szCs w:val="22"/>
        </w:rPr>
        <w:t>Looking at the three sources of revenue separately</w:t>
      </w:r>
      <w:r w:rsidRPr="005B294B">
        <w:rPr>
          <w:rFonts w:hint="eastAsia"/>
          <w:sz w:val="22"/>
          <w:szCs w:val="22"/>
        </w:rPr>
        <w:t xml:space="preserve">, </w:t>
      </w:r>
      <w:r w:rsidR="00EC204D">
        <w:rPr>
          <w:sz w:val="22"/>
          <w:szCs w:val="22"/>
        </w:rPr>
        <w:t>again the estimate of the impact of trade shocks on</w:t>
      </w:r>
      <w:r w:rsidRPr="005B294B">
        <w:rPr>
          <w:rFonts w:hint="eastAsia"/>
          <w:sz w:val="22"/>
          <w:szCs w:val="22"/>
        </w:rPr>
        <w:t xml:space="preserve"> state revenue is </w:t>
      </w:r>
      <w:r>
        <w:rPr>
          <w:sz w:val="22"/>
          <w:szCs w:val="22"/>
        </w:rPr>
        <w:t xml:space="preserve">largest in magnitude and </w:t>
      </w:r>
      <w:r w:rsidR="00EC204D">
        <w:rPr>
          <w:sz w:val="22"/>
          <w:szCs w:val="22"/>
        </w:rPr>
        <w:t xml:space="preserve">it is the only estimate that is </w:t>
      </w:r>
      <w:r w:rsidRPr="005B294B">
        <w:rPr>
          <w:rFonts w:hint="eastAsia"/>
          <w:sz w:val="22"/>
          <w:szCs w:val="22"/>
        </w:rPr>
        <w:t>statistically significant</w:t>
      </w:r>
      <w:r>
        <w:rPr>
          <w:sz w:val="22"/>
          <w:szCs w:val="22"/>
        </w:rPr>
        <w:t>. Table 8</w:t>
      </w:r>
      <w:r w:rsidRPr="005B294B">
        <w:rPr>
          <w:rFonts w:hint="eastAsia"/>
          <w:sz w:val="22"/>
          <w:szCs w:val="22"/>
        </w:rPr>
        <w:t xml:space="preserve"> further </w:t>
      </w:r>
      <w:r>
        <w:rPr>
          <w:sz w:val="22"/>
          <w:szCs w:val="22"/>
        </w:rPr>
        <w:t xml:space="preserve">supports my former conclusion </w:t>
      </w:r>
      <w:r w:rsidRPr="005B294B">
        <w:rPr>
          <w:rFonts w:hint="eastAsia"/>
          <w:sz w:val="22"/>
          <w:szCs w:val="22"/>
        </w:rPr>
        <w:t xml:space="preserve">that decreases in total revenue in response to a rising import is mainly caused by the decrease in </w:t>
      </w:r>
      <w:r w:rsidR="00EC204D">
        <w:rPr>
          <w:sz w:val="22"/>
          <w:szCs w:val="22"/>
        </w:rPr>
        <w:t>funding</w:t>
      </w:r>
      <w:r w:rsidR="00EC204D" w:rsidRPr="005B294B">
        <w:rPr>
          <w:rFonts w:hint="eastAsia"/>
          <w:sz w:val="22"/>
          <w:szCs w:val="22"/>
        </w:rPr>
        <w:t xml:space="preserve"> </w:t>
      </w:r>
      <w:r w:rsidRPr="005B294B">
        <w:rPr>
          <w:rFonts w:hint="eastAsia"/>
          <w:sz w:val="22"/>
          <w:szCs w:val="22"/>
        </w:rPr>
        <w:t>from state government</w:t>
      </w:r>
      <w:r w:rsidR="00EC204D">
        <w:rPr>
          <w:sz w:val="22"/>
          <w:szCs w:val="22"/>
        </w:rPr>
        <w:t>s</w:t>
      </w:r>
      <w:r w:rsidRPr="005B294B">
        <w:rPr>
          <w:rFonts w:hint="eastAsia"/>
          <w:sz w:val="22"/>
          <w:szCs w:val="22"/>
        </w:rPr>
        <w:t>.</w:t>
      </w:r>
    </w:p>
    <w:p w14:paraId="2C348EF7" w14:textId="44AAA4DC" w:rsidR="005D4521" w:rsidRPr="005D4521" w:rsidRDefault="005D4521" w:rsidP="005D4521">
      <w:pPr>
        <w:widowControl w:val="0"/>
        <w:autoSpaceDE w:val="0"/>
        <w:autoSpaceDN w:val="0"/>
        <w:adjustRightInd w:val="0"/>
        <w:spacing w:after="100" w:line="340" w:lineRule="auto"/>
        <w:jc w:val="both"/>
        <w:rPr>
          <w:rFonts w:ascii="Times" w:hAnsi="Times"/>
          <w:i/>
          <w:sz w:val="22"/>
          <w:szCs w:val="22"/>
        </w:rPr>
      </w:pPr>
      <w:r>
        <w:rPr>
          <w:rFonts w:ascii="Times" w:hAnsi="Times"/>
          <w:i/>
          <w:sz w:val="22"/>
          <w:szCs w:val="22"/>
        </w:rPr>
        <w:t>7.</w:t>
      </w:r>
      <w:r w:rsidR="00903409">
        <w:rPr>
          <w:rFonts w:ascii="Times" w:hAnsi="Times"/>
          <w:i/>
          <w:sz w:val="22"/>
          <w:szCs w:val="22"/>
        </w:rPr>
        <w:t>3</w:t>
      </w:r>
      <w:r w:rsidRPr="0055579D">
        <w:rPr>
          <w:rFonts w:ascii="Times" w:hAnsi="Times"/>
          <w:i/>
          <w:sz w:val="22"/>
          <w:szCs w:val="22"/>
        </w:rPr>
        <w:t>.</w:t>
      </w:r>
      <w:r>
        <w:rPr>
          <w:rFonts w:ascii="Times" w:hAnsi="Times"/>
          <w:i/>
          <w:sz w:val="22"/>
          <w:szCs w:val="22"/>
        </w:rPr>
        <w:t xml:space="preserve"> Do Local Governments</w:t>
      </w:r>
      <w:r w:rsidRPr="005D5ABC">
        <w:rPr>
          <w:rFonts w:ascii="Times" w:hAnsi="Times"/>
          <w:i/>
          <w:sz w:val="22"/>
          <w:szCs w:val="22"/>
        </w:rPr>
        <w:t xml:space="preserve"> </w:t>
      </w:r>
      <w:r>
        <w:rPr>
          <w:rFonts w:ascii="Times" w:hAnsi="Times"/>
          <w:i/>
          <w:sz w:val="22"/>
          <w:szCs w:val="22"/>
        </w:rPr>
        <w:t>Compensate for the Lost in Property Values</w:t>
      </w:r>
      <w:r w:rsidRPr="005D5ABC">
        <w:rPr>
          <w:rFonts w:ascii="Times" w:hAnsi="Times"/>
          <w:i/>
          <w:sz w:val="22"/>
          <w:szCs w:val="22"/>
        </w:rPr>
        <w:t>?</w:t>
      </w:r>
      <w:r>
        <w:rPr>
          <w:rFonts w:ascii="Times" w:hAnsi="Times"/>
          <w:i/>
          <w:sz w:val="22"/>
          <w:szCs w:val="22"/>
        </w:rPr>
        <w:t xml:space="preserve"> </w:t>
      </w:r>
      <w:r>
        <w:rPr>
          <w:sz w:val="22"/>
          <w:szCs w:val="22"/>
        </w:rPr>
        <w:t xml:space="preserve">        </w:t>
      </w:r>
    </w:p>
    <w:p w14:paraId="29A62653" w14:textId="46E5D9CF" w:rsidR="00906736" w:rsidRDefault="00A20361" w:rsidP="00A20361">
      <w:pPr>
        <w:spacing w:line="360" w:lineRule="auto"/>
        <w:jc w:val="both"/>
        <w:rPr>
          <w:sz w:val="22"/>
          <w:szCs w:val="22"/>
        </w:rPr>
      </w:pPr>
      <w:r>
        <w:rPr>
          <w:sz w:val="22"/>
          <w:szCs w:val="22"/>
        </w:rPr>
        <w:t xml:space="preserve">            </w:t>
      </w:r>
      <w:r w:rsidRPr="005B294B">
        <w:rPr>
          <w:sz w:val="22"/>
          <w:szCs w:val="22"/>
        </w:rPr>
        <w:t>While it is rather clear that state sales and income tax revenues decrease in states with more job loss due to exposure to Chinese imports, it is unclear how local governments respond to these changes.</w:t>
      </w:r>
      <w:r>
        <w:rPr>
          <w:sz w:val="22"/>
          <w:szCs w:val="22"/>
        </w:rPr>
        <w:t xml:space="preserve"> Local government</w:t>
      </w:r>
      <w:r w:rsidR="00D9480E">
        <w:rPr>
          <w:sz w:val="22"/>
          <w:szCs w:val="22"/>
        </w:rPr>
        <w:t>s</w:t>
      </w:r>
      <w:r>
        <w:rPr>
          <w:sz w:val="22"/>
          <w:szCs w:val="22"/>
        </w:rPr>
        <w:t xml:space="preserve"> </w:t>
      </w:r>
      <w:r w:rsidR="00D9480E">
        <w:rPr>
          <w:sz w:val="22"/>
          <w:szCs w:val="22"/>
        </w:rPr>
        <w:t xml:space="preserve">may be </w:t>
      </w:r>
      <w:r>
        <w:rPr>
          <w:sz w:val="22"/>
          <w:szCs w:val="22"/>
        </w:rPr>
        <w:t>more flexible in adjusting tax rates</w:t>
      </w:r>
      <w:r w:rsidR="00D9480E">
        <w:rPr>
          <w:sz w:val="22"/>
          <w:szCs w:val="22"/>
        </w:rPr>
        <w:t xml:space="preserve"> than are state governments</w:t>
      </w:r>
      <w:r>
        <w:rPr>
          <w:sz w:val="22"/>
          <w:szCs w:val="22"/>
        </w:rPr>
        <w:t>.</w:t>
      </w:r>
      <w:r w:rsidRPr="005B294B">
        <w:rPr>
          <w:sz w:val="22"/>
          <w:szCs w:val="22"/>
        </w:rPr>
        <w:t xml:space="preserve"> </w:t>
      </w:r>
      <w:r w:rsidR="00906736">
        <w:rPr>
          <w:sz w:val="22"/>
          <w:szCs w:val="22"/>
        </w:rPr>
        <w:t>While p</w:t>
      </w:r>
      <w:r w:rsidRPr="005B294B">
        <w:rPr>
          <w:rFonts w:hint="eastAsia"/>
          <w:sz w:val="22"/>
          <w:szCs w:val="22"/>
        </w:rPr>
        <w:t xml:space="preserve">eople living in </w:t>
      </w:r>
      <w:r w:rsidR="00877F95">
        <w:rPr>
          <w:sz w:val="22"/>
          <w:szCs w:val="22"/>
        </w:rPr>
        <w:t>areas</w:t>
      </w:r>
      <w:r w:rsidR="00877F95" w:rsidRPr="005B294B">
        <w:rPr>
          <w:rFonts w:hint="eastAsia"/>
          <w:sz w:val="22"/>
          <w:szCs w:val="22"/>
        </w:rPr>
        <w:t xml:space="preserve"> </w:t>
      </w:r>
      <w:r w:rsidRPr="005B294B">
        <w:rPr>
          <w:sz w:val="22"/>
          <w:szCs w:val="22"/>
        </w:rPr>
        <w:t>suffering</w:t>
      </w:r>
      <w:r w:rsidRPr="005B294B">
        <w:rPr>
          <w:rFonts w:hint="eastAsia"/>
          <w:sz w:val="22"/>
          <w:szCs w:val="22"/>
        </w:rPr>
        <w:t xml:space="preserve"> more from import competition may vote to decrease spending on local school</w:t>
      </w:r>
      <w:r w:rsidRPr="005B294B">
        <w:rPr>
          <w:sz w:val="22"/>
          <w:szCs w:val="22"/>
        </w:rPr>
        <w:t>s</w:t>
      </w:r>
      <w:r w:rsidRPr="005B294B">
        <w:rPr>
          <w:rFonts w:hint="eastAsia"/>
          <w:sz w:val="22"/>
          <w:szCs w:val="22"/>
        </w:rPr>
        <w:t xml:space="preserve"> </w:t>
      </w:r>
      <w:r w:rsidRPr="005B294B">
        <w:rPr>
          <w:sz w:val="22"/>
          <w:szCs w:val="22"/>
        </w:rPr>
        <w:t>because</w:t>
      </w:r>
      <w:r w:rsidRPr="005B294B">
        <w:rPr>
          <w:rFonts w:hint="eastAsia"/>
          <w:sz w:val="22"/>
          <w:szCs w:val="22"/>
        </w:rPr>
        <w:t xml:space="preserve"> of the</w:t>
      </w:r>
      <w:r w:rsidRPr="005B294B">
        <w:rPr>
          <w:sz w:val="22"/>
          <w:szCs w:val="22"/>
        </w:rPr>
        <w:t>ir</w:t>
      </w:r>
      <w:r w:rsidRPr="005B294B">
        <w:rPr>
          <w:rFonts w:hint="eastAsia"/>
          <w:sz w:val="22"/>
          <w:szCs w:val="22"/>
        </w:rPr>
        <w:t xml:space="preserve"> </w:t>
      </w:r>
      <w:r w:rsidRPr="005B294B">
        <w:rPr>
          <w:sz w:val="22"/>
          <w:szCs w:val="22"/>
        </w:rPr>
        <w:t>decreased</w:t>
      </w:r>
      <w:r w:rsidRPr="005B294B">
        <w:rPr>
          <w:rFonts w:hint="eastAsia"/>
          <w:sz w:val="22"/>
          <w:szCs w:val="22"/>
        </w:rPr>
        <w:t xml:space="preserve"> income</w:t>
      </w:r>
      <w:r w:rsidRPr="005B294B">
        <w:rPr>
          <w:sz w:val="22"/>
          <w:szCs w:val="22"/>
        </w:rPr>
        <w:t>s</w:t>
      </w:r>
      <w:r w:rsidRPr="005B294B">
        <w:rPr>
          <w:rFonts w:hint="eastAsia"/>
          <w:sz w:val="22"/>
          <w:szCs w:val="22"/>
        </w:rPr>
        <w:t xml:space="preserve">, it is also possible that they will vote to increase education </w:t>
      </w:r>
      <w:r w:rsidRPr="005B294B">
        <w:rPr>
          <w:sz w:val="22"/>
          <w:szCs w:val="22"/>
        </w:rPr>
        <w:t>spending to compensate for</w:t>
      </w:r>
      <w:r>
        <w:rPr>
          <w:sz w:val="22"/>
          <w:szCs w:val="22"/>
        </w:rPr>
        <w:t xml:space="preserve"> the</w:t>
      </w:r>
      <w:r w:rsidRPr="005B294B">
        <w:rPr>
          <w:sz w:val="22"/>
          <w:szCs w:val="22"/>
        </w:rPr>
        <w:t xml:space="preserve"> losses in state funding especially </w:t>
      </w:r>
      <w:r w:rsidR="00906736">
        <w:rPr>
          <w:sz w:val="22"/>
          <w:szCs w:val="22"/>
        </w:rPr>
        <w:t>given the</w:t>
      </w:r>
      <w:r w:rsidRPr="005B294B">
        <w:rPr>
          <w:sz w:val="22"/>
          <w:szCs w:val="22"/>
        </w:rPr>
        <w:t xml:space="preserve"> </w:t>
      </w:r>
      <w:r w:rsidRPr="005B294B">
        <w:rPr>
          <w:rFonts w:hint="eastAsia"/>
          <w:sz w:val="22"/>
          <w:szCs w:val="22"/>
        </w:rPr>
        <w:t>higher education premium</w:t>
      </w:r>
      <w:r w:rsidRPr="005B294B">
        <w:rPr>
          <w:sz w:val="22"/>
          <w:szCs w:val="22"/>
        </w:rPr>
        <w:t>s</w:t>
      </w:r>
      <w:r>
        <w:rPr>
          <w:sz w:val="22"/>
          <w:szCs w:val="22"/>
        </w:rPr>
        <w:t xml:space="preserve"> </w:t>
      </w:r>
      <w:r w:rsidRPr="005B294B">
        <w:rPr>
          <w:sz w:val="22"/>
          <w:szCs w:val="22"/>
        </w:rPr>
        <w:t>in these areas</w:t>
      </w:r>
      <w:r w:rsidRPr="005B294B">
        <w:rPr>
          <w:rFonts w:hint="eastAsia"/>
          <w:sz w:val="22"/>
          <w:szCs w:val="22"/>
        </w:rPr>
        <w:t xml:space="preserve">. To </w:t>
      </w:r>
      <w:r>
        <w:rPr>
          <w:sz w:val="22"/>
          <w:szCs w:val="22"/>
        </w:rPr>
        <w:t>test</w:t>
      </w:r>
      <w:r w:rsidRPr="005B294B">
        <w:rPr>
          <w:rFonts w:hint="eastAsia"/>
          <w:sz w:val="22"/>
          <w:szCs w:val="22"/>
        </w:rPr>
        <w:t xml:space="preserve"> whether people vote for more local revenue going to schools</w:t>
      </w:r>
      <w:r w:rsidRPr="005B294B">
        <w:rPr>
          <w:sz w:val="22"/>
          <w:szCs w:val="22"/>
        </w:rPr>
        <w:t xml:space="preserve">, I examine whether school districts where more voters are employed in the manufacturing sector increase or decrease local spending on schools. </w:t>
      </w:r>
    </w:p>
    <w:p w14:paraId="42004651" w14:textId="1929C526" w:rsidR="00A20361" w:rsidRPr="005B294B" w:rsidRDefault="00A20361" w:rsidP="00906736">
      <w:pPr>
        <w:spacing w:line="360" w:lineRule="auto"/>
        <w:ind w:firstLine="720"/>
        <w:jc w:val="both"/>
        <w:rPr>
          <w:sz w:val="22"/>
          <w:szCs w:val="22"/>
        </w:rPr>
      </w:pPr>
      <w:r w:rsidRPr="005B294B">
        <w:rPr>
          <w:sz w:val="22"/>
          <w:szCs w:val="22"/>
        </w:rPr>
        <w:t xml:space="preserve">I obtain </w:t>
      </w:r>
      <w:r>
        <w:rPr>
          <w:sz w:val="22"/>
          <w:szCs w:val="22"/>
        </w:rPr>
        <w:t xml:space="preserve">1990 </w:t>
      </w:r>
      <w:r w:rsidRPr="005B294B">
        <w:rPr>
          <w:sz w:val="22"/>
          <w:szCs w:val="22"/>
        </w:rPr>
        <w:t xml:space="preserve">school district level manufacturing share data from the School District Data Book 1990 and </w:t>
      </w:r>
      <w:r w:rsidRPr="005B294B">
        <w:rPr>
          <w:rFonts w:hint="eastAsia"/>
          <w:sz w:val="22"/>
          <w:szCs w:val="22"/>
        </w:rPr>
        <w:t>then I</w:t>
      </w:r>
      <w:r w:rsidRPr="005B294B">
        <w:rPr>
          <w:sz w:val="22"/>
          <w:szCs w:val="22"/>
        </w:rPr>
        <w:t xml:space="preserve"> interact it with CZ level import exposure </w:t>
      </w:r>
      <w:r w:rsidR="00906736">
        <w:rPr>
          <w:sz w:val="22"/>
          <w:szCs w:val="22"/>
        </w:rPr>
        <w:t>variable as shown in</w:t>
      </w:r>
      <w:r w:rsidRPr="005B294B">
        <w:rPr>
          <w:sz w:val="22"/>
          <w:szCs w:val="22"/>
        </w:rPr>
        <w:t xml:space="preserve"> the following regression</w:t>
      </w:r>
      <w:r w:rsidR="00906736">
        <w:rPr>
          <w:sz w:val="22"/>
          <w:szCs w:val="22"/>
        </w:rPr>
        <w:t xml:space="preserve"> equation</w:t>
      </w:r>
      <w:r w:rsidRPr="005B294B">
        <w:rPr>
          <w:sz w:val="22"/>
          <w:szCs w:val="22"/>
        </w:rPr>
        <w:t>:</w:t>
      </w:r>
    </w:p>
    <w:p w14:paraId="1F9671DC" w14:textId="77777777" w:rsidR="00A20361" w:rsidRPr="005B294B" w:rsidRDefault="00157748" w:rsidP="00A20361">
      <w:pPr>
        <w:spacing w:line="360" w:lineRule="auto"/>
        <w:jc w:val="center"/>
        <w:outlineLvl w:val="0"/>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∆Edu</m:t>
            </m:r>
          </m:e>
          <m:sub>
            <m:r>
              <m:rPr>
                <m:sty m:val="p"/>
              </m:rPr>
              <w:rPr>
                <w:rFonts w:ascii="Cambria Math" w:hAnsi="Cambria Math"/>
                <w:sz w:val="22"/>
                <w:szCs w:val="22"/>
              </w:rPr>
              <m:t>i,t,d</m:t>
            </m:r>
          </m:sub>
          <m:sup/>
        </m:sSubSup>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1</m:t>
            </m:r>
          </m:sub>
        </m:sSub>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it</m:t>
            </m:r>
          </m:sub>
          <m:sup>
            <m:r>
              <w:rPr>
                <w:rFonts w:ascii="Cambria Math" w:hAnsi="Cambria Math"/>
                <w:sz w:val="22"/>
                <w:szCs w:val="22"/>
              </w:rPr>
              <m:t>u</m:t>
            </m:r>
          </m:sup>
        </m:sSubSup>
        <m:r>
          <m:rPr>
            <m:sty m:val="p"/>
          </m:rPr>
          <w:rPr>
            <w:rFonts w:ascii="Cambria Math" w:hAnsi="Cambria Math"/>
            <w:sz w:val="22"/>
            <w:szCs w:val="22"/>
          </w:rPr>
          <m:t xml:space="preserve"> *</m:t>
        </m:r>
        <m:sSub>
          <m:sSubPr>
            <m:ctrlPr>
              <w:rPr>
                <w:rFonts w:ascii="Cambria Math" w:hAnsi="Cambria Math"/>
                <w:sz w:val="22"/>
                <w:szCs w:val="22"/>
              </w:rPr>
            </m:ctrlPr>
          </m:sSubPr>
          <m:e>
            <m:r>
              <m:rPr>
                <m:sty m:val="p"/>
              </m:rPr>
              <w:rPr>
                <w:rFonts w:ascii="Cambria Math" w:hAnsi="Cambria Math"/>
                <w:sz w:val="22"/>
                <w:szCs w:val="22"/>
              </w:rPr>
              <m:t>MN</m:t>
            </m:r>
          </m:e>
          <m:sub>
            <m:r>
              <w:rPr>
                <w:rFonts w:ascii="Cambria Math" w:hAnsi="Cambria Math"/>
                <w:sz w:val="22"/>
                <w:szCs w:val="22"/>
              </w:rPr>
              <m:t>d,90</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2</m:t>
            </m:r>
          </m:sub>
        </m:sSub>
        <m:sSub>
          <m:sSubPr>
            <m:ctrlPr>
              <w:rPr>
                <w:rFonts w:ascii="Cambria Math" w:hAnsi="Cambria Math"/>
                <w:sz w:val="22"/>
                <w:szCs w:val="22"/>
              </w:rPr>
            </m:ctrlPr>
          </m:sSubPr>
          <m:e>
            <m:r>
              <m:rPr>
                <m:sty m:val="p"/>
              </m:rPr>
              <w:rPr>
                <w:rFonts w:ascii="Cambria Math" w:hAnsi="Cambria Math"/>
                <w:sz w:val="22"/>
                <w:szCs w:val="22"/>
              </w:rPr>
              <m:t>MN</m:t>
            </m:r>
          </m:e>
          <m:sub>
            <m:r>
              <w:rPr>
                <w:rFonts w:ascii="Cambria Math" w:hAnsi="Cambria Math"/>
                <w:sz w:val="22"/>
                <w:szCs w:val="22"/>
              </w:rPr>
              <m:t>d,90</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3</m:t>
            </m:r>
          </m:sub>
        </m:sSub>
        <m:sSubSup>
          <m:sSubSupPr>
            <m:ctrlPr>
              <w:rPr>
                <w:rFonts w:ascii="Cambria Math" w:hAnsi="Cambria Math"/>
                <w:sz w:val="22"/>
                <w:szCs w:val="22"/>
              </w:rPr>
            </m:ctrlPr>
          </m:sSubSupPr>
          <m:e>
            <m:r>
              <w:rPr>
                <w:rFonts w:ascii="Cambria Math" w:hAnsi="Cambria Math"/>
                <w:sz w:val="22"/>
                <w:szCs w:val="22"/>
              </w:rPr>
              <m:t>∆IPW</m:t>
            </m:r>
          </m:e>
          <m:sub>
            <m:r>
              <w:rPr>
                <w:rFonts w:ascii="Cambria Math" w:hAnsi="Cambria Math"/>
                <w:sz w:val="22"/>
                <w:szCs w:val="22"/>
              </w:rPr>
              <m:t>it</m:t>
            </m:r>
          </m:sub>
          <m:sup>
            <m:r>
              <w:rPr>
                <w:rFonts w:ascii="Cambria Math" w:hAnsi="Cambria Math"/>
                <w:sz w:val="22"/>
                <w:szCs w:val="22"/>
              </w:rPr>
              <m:t>u</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m:rPr>
                <m:sty m:val="p"/>
              </m:rPr>
              <w:rPr>
                <w:rFonts w:ascii="Cambria Math" w:hAnsi="Cambria Math"/>
                <w:sz w:val="22"/>
                <w:szCs w:val="22"/>
              </w:rPr>
              <m:t>X</m:t>
            </m:r>
          </m:e>
          <m:sub>
            <m:r>
              <m:rPr>
                <m:sty m:val="p"/>
              </m:rPr>
              <w:rPr>
                <w:rFonts w:ascii="Cambria Math" w:hAnsi="Cambria Math"/>
                <w:sz w:val="22"/>
                <w:szCs w:val="22"/>
              </w:rPr>
              <m:t>i,t,d</m:t>
            </m:r>
          </m:sub>
          <m:sup>
            <m:r>
              <m:rPr>
                <m:sty m:val="p"/>
              </m:rPr>
              <w:rPr>
                <w:rFonts w:ascii="Cambria Math" w:hAnsi="Cambria Math"/>
                <w:sz w:val="22"/>
                <w:szCs w:val="22"/>
              </w:rPr>
              <m:t>'</m:t>
            </m:r>
          </m:sup>
        </m:sSubSup>
        <m:sSub>
          <m:sSubPr>
            <m:ctrlPr>
              <w:rPr>
                <w:rFonts w:ascii="Cambria Math" w:hAnsi="Cambria Math"/>
                <w:sz w:val="22"/>
                <w:szCs w:val="22"/>
              </w:rPr>
            </m:ctrlPr>
          </m:sSubPr>
          <m:e>
            <m:r>
              <m:rPr>
                <m:sty m:val="p"/>
              </m:rPr>
              <w:rPr>
                <w:rFonts w:ascii="Cambria Math" w:hAnsi="Cambria Math"/>
                <w:sz w:val="22"/>
                <w:szCs w:val="22"/>
              </w:rPr>
              <m:t>β</m:t>
            </m:r>
          </m:e>
          <m:sub>
            <m:r>
              <m:rPr>
                <m:sty m:val="p"/>
              </m:rPr>
              <w:rPr>
                <w:rFonts w:ascii="Cambria Math" w:hAnsi="Cambria Math"/>
                <w:sz w:val="22"/>
                <w:szCs w:val="22"/>
              </w:rPr>
              <m:t>4</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i,t,d</m:t>
            </m:r>
          </m:sub>
        </m:sSub>
      </m:oMath>
      <w:r w:rsidR="00A20361" w:rsidRPr="005B294B">
        <w:rPr>
          <w:rFonts w:hint="eastAsia"/>
          <w:sz w:val="22"/>
          <w:szCs w:val="22"/>
        </w:rPr>
        <w:t xml:space="preserve"> (4)</w:t>
      </w:r>
    </w:p>
    <w:p w14:paraId="699AD5FE" w14:textId="23D85E99" w:rsidR="00A20361" w:rsidRPr="009E091D" w:rsidRDefault="00877F95" w:rsidP="00A20361">
      <w:pPr>
        <w:spacing w:line="360" w:lineRule="auto"/>
        <w:jc w:val="both"/>
        <w:rPr>
          <w:rFonts w:ascii="Times" w:hAnsi="Times"/>
          <w:i/>
          <w:sz w:val="22"/>
          <w:szCs w:val="22"/>
        </w:rPr>
      </w:pPr>
      <w:r w:rsidRPr="005B294B">
        <w:rPr>
          <w:rFonts w:hint="eastAsia"/>
          <w:sz w:val="22"/>
          <w:szCs w:val="22"/>
        </w:rPr>
        <w:t>S</w:t>
      </w:r>
      <w:r w:rsidRPr="005B294B">
        <w:rPr>
          <w:sz w:val="22"/>
          <w:szCs w:val="22"/>
        </w:rPr>
        <w:t>i</w:t>
      </w:r>
      <w:r w:rsidRPr="005B294B">
        <w:rPr>
          <w:rFonts w:hint="eastAsia"/>
          <w:sz w:val="22"/>
          <w:szCs w:val="22"/>
        </w:rPr>
        <w:t xml:space="preserve">nce </w:t>
      </w:r>
      <w:r w:rsidRPr="005B294B">
        <w:rPr>
          <w:sz w:val="22"/>
          <w:szCs w:val="22"/>
        </w:rPr>
        <w:t>school</w:t>
      </w:r>
      <w:r w:rsidRPr="005B294B">
        <w:rPr>
          <w:rFonts w:hint="eastAsia"/>
          <w:sz w:val="22"/>
          <w:szCs w:val="22"/>
        </w:rPr>
        <w:t xml:space="preserve"> district level data is only </w:t>
      </w:r>
      <w:r w:rsidRPr="005B294B">
        <w:rPr>
          <w:sz w:val="22"/>
          <w:szCs w:val="22"/>
        </w:rPr>
        <w:t>available</w:t>
      </w:r>
      <w:r w:rsidRPr="005B294B">
        <w:rPr>
          <w:rFonts w:hint="eastAsia"/>
          <w:sz w:val="22"/>
          <w:szCs w:val="22"/>
        </w:rPr>
        <w:t xml:space="preserve"> in 1990, only 1990 and 2000 data </w:t>
      </w:r>
      <w:r w:rsidR="004449D6" w:rsidRPr="005B294B">
        <w:rPr>
          <w:sz w:val="22"/>
          <w:szCs w:val="22"/>
        </w:rPr>
        <w:t>are</w:t>
      </w:r>
      <w:r w:rsidRPr="005B294B">
        <w:rPr>
          <w:rFonts w:hint="eastAsia"/>
          <w:sz w:val="22"/>
          <w:szCs w:val="22"/>
        </w:rPr>
        <w:t xml:space="preserve"> used in this </w:t>
      </w:r>
      <w:r>
        <w:rPr>
          <w:sz w:val="22"/>
          <w:szCs w:val="22"/>
        </w:rPr>
        <w:t>equation</w:t>
      </w:r>
      <w:r w:rsidRPr="005B294B">
        <w:rPr>
          <w:rFonts w:hint="eastAsia"/>
          <w:sz w:val="22"/>
          <w:szCs w:val="22"/>
        </w:rPr>
        <w:t xml:space="preserve">. </w:t>
      </w:r>
      <w:r w:rsidR="00A20361" w:rsidRPr="005B294B">
        <w:rPr>
          <w:rFonts w:hint="eastAsia"/>
          <w:sz w:val="22"/>
          <w:szCs w:val="22"/>
        </w:rPr>
        <w:t>In model (4)</w:t>
      </w:r>
      <w:r w:rsidR="00A20361" w:rsidRPr="005B294B">
        <w:rPr>
          <w:sz w:val="22"/>
          <w:szCs w:val="22"/>
        </w:rPr>
        <w:t>,</w:t>
      </w:r>
      <w:r w:rsidR="00A20361" w:rsidRPr="005B294B">
        <w:rPr>
          <w:rFonts w:hint="eastAsia"/>
          <w:sz w:val="22"/>
          <w:szCs w:val="22"/>
        </w:rPr>
        <w:t xml:space="preserve"> </w:t>
      </w:r>
      <m:oMath>
        <m:sSubSup>
          <m:sSubSupPr>
            <m:ctrlPr>
              <w:rPr>
                <w:rFonts w:ascii="Cambria Math" w:hAnsi="Cambria Math"/>
                <w:sz w:val="22"/>
                <w:szCs w:val="22"/>
              </w:rPr>
            </m:ctrlPr>
          </m:sSubSupPr>
          <m:e>
            <m:r>
              <m:rPr>
                <m:sty m:val="p"/>
              </m:rPr>
              <w:rPr>
                <w:rFonts w:ascii="Cambria Math" w:hAnsi="Cambria Math"/>
                <w:sz w:val="22"/>
                <w:szCs w:val="22"/>
              </w:rPr>
              <m:t>∆Edu</m:t>
            </m:r>
          </m:e>
          <m:sub>
            <m:r>
              <m:rPr>
                <m:sty m:val="p"/>
              </m:rPr>
              <w:rPr>
                <w:rFonts w:ascii="Cambria Math" w:hAnsi="Cambria Math"/>
                <w:sz w:val="22"/>
                <w:szCs w:val="22"/>
              </w:rPr>
              <m:t>sd,i,t</m:t>
            </m:r>
          </m:sub>
          <m:sup/>
        </m:sSubSup>
      </m:oMath>
      <w:r w:rsidR="00A20361" w:rsidRPr="005B294B">
        <w:rPr>
          <w:sz w:val="22"/>
          <w:szCs w:val="22"/>
        </w:rPr>
        <w:t xml:space="preserve"> </w:t>
      </w:r>
      <w:r w:rsidR="00A20361" w:rsidRPr="005B294B">
        <w:rPr>
          <w:rFonts w:hint="eastAsia"/>
          <w:sz w:val="22"/>
          <w:szCs w:val="22"/>
        </w:rPr>
        <w:t xml:space="preserve">is the decadal change in per-pupil revenue </w:t>
      </w:r>
      <w:r w:rsidR="00A20361" w:rsidRPr="005B294B">
        <w:rPr>
          <w:sz w:val="22"/>
          <w:szCs w:val="22"/>
        </w:rPr>
        <w:t xml:space="preserve">in school district </w:t>
      </w:r>
      <w:r w:rsidR="00A20361" w:rsidRPr="005B294B">
        <w:rPr>
          <w:rFonts w:hint="eastAsia"/>
          <w:i/>
          <w:sz w:val="22"/>
          <w:szCs w:val="22"/>
        </w:rPr>
        <w:t>d</w:t>
      </w:r>
      <w:r w:rsidR="00A20361" w:rsidRPr="005B294B">
        <w:rPr>
          <w:sz w:val="22"/>
          <w:szCs w:val="22"/>
        </w:rPr>
        <w:t xml:space="preserve"> in CZ </w:t>
      </w:r>
      <w:proofErr w:type="spellStart"/>
      <w:r w:rsidR="00A20361" w:rsidRPr="005B294B">
        <w:rPr>
          <w:i/>
          <w:sz w:val="22"/>
          <w:szCs w:val="22"/>
        </w:rPr>
        <w:t>i</w:t>
      </w:r>
      <w:proofErr w:type="spellEnd"/>
      <w:r w:rsidR="00A20361" w:rsidRPr="005B294B">
        <w:rPr>
          <w:sz w:val="22"/>
          <w:szCs w:val="22"/>
        </w:rPr>
        <w:t>.</w:t>
      </w:r>
      <w:r w:rsidR="00A20361" w:rsidRPr="005B294B">
        <w:rPr>
          <w:rFonts w:hint="eastAsia"/>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MN</m:t>
            </m:r>
          </m:e>
          <m:sub>
            <m:r>
              <w:rPr>
                <w:rFonts w:ascii="Cambria Math" w:hAnsi="Cambria Math"/>
                <w:sz w:val="22"/>
                <w:szCs w:val="22"/>
              </w:rPr>
              <m:t>d,90</m:t>
            </m:r>
          </m:sub>
        </m:sSub>
      </m:oMath>
      <w:r w:rsidR="00A20361" w:rsidRPr="005B294B">
        <w:rPr>
          <w:sz w:val="22"/>
          <w:szCs w:val="22"/>
        </w:rPr>
        <w:t xml:space="preserve"> is the manufacturing share in school district</w:t>
      </w:r>
      <w:r w:rsidR="00A20361">
        <w:rPr>
          <w:i/>
          <w:sz w:val="22"/>
          <w:szCs w:val="22"/>
        </w:rPr>
        <w:t xml:space="preserve"> </w:t>
      </w:r>
      <w:r w:rsidR="00A20361" w:rsidRPr="005B294B">
        <w:rPr>
          <w:rFonts w:hint="eastAsia"/>
          <w:i/>
          <w:sz w:val="22"/>
          <w:szCs w:val="22"/>
        </w:rPr>
        <w:t>d</w:t>
      </w:r>
      <w:r w:rsidR="00A20361" w:rsidRPr="005B294B">
        <w:rPr>
          <w:sz w:val="22"/>
          <w:szCs w:val="22"/>
        </w:rPr>
        <w:t xml:space="preserve"> in CZ </w:t>
      </w:r>
      <w:proofErr w:type="spellStart"/>
      <w:r w:rsidR="00A20361" w:rsidRPr="005B294B">
        <w:rPr>
          <w:i/>
          <w:sz w:val="22"/>
          <w:szCs w:val="22"/>
        </w:rPr>
        <w:t>i</w:t>
      </w:r>
      <w:proofErr w:type="spellEnd"/>
      <w:r w:rsidR="00A20361" w:rsidRPr="005B294B">
        <w:rPr>
          <w:sz w:val="22"/>
          <w:szCs w:val="22"/>
        </w:rPr>
        <w:t xml:space="preserve"> </w:t>
      </w:r>
      <w:r w:rsidR="00A20361" w:rsidRPr="005B294B">
        <w:rPr>
          <w:rFonts w:hint="eastAsia"/>
          <w:sz w:val="22"/>
          <w:szCs w:val="22"/>
        </w:rPr>
        <w:t>in</w:t>
      </w:r>
      <w:r w:rsidR="00A20361" w:rsidRPr="005B294B">
        <w:rPr>
          <w:sz w:val="22"/>
          <w:szCs w:val="22"/>
        </w:rPr>
        <w:t xml:space="preserve"> year 1990. </w:t>
      </w:r>
      <m:oMath>
        <m:sSubSup>
          <m:sSubSupPr>
            <m:ctrlPr>
              <w:rPr>
                <w:rFonts w:ascii="Cambria Math" w:hAnsi="Cambria Math"/>
                <w:sz w:val="22"/>
                <w:szCs w:val="22"/>
              </w:rPr>
            </m:ctrlPr>
          </m:sSubSupPr>
          <m:e>
            <m:r>
              <m:rPr>
                <m:sty m:val="p"/>
              </m:rPr>
              <w:rPr>
                <w:rFonts w:ascii="Cambria Math" w:hAnsi="Cambria Math"/>
                <w:sz w:val="22"/>
                <w:szCs w:val="22"/>
              </w:rPr>
              <m:t>X</m:t>
            </m:r>
          </m:e>
          <m:sub>
            <m:r>
              <m:rPr>
                <m:sty m:val="p"/>
              </m:rPr>
              <w:rPr>
                <w:rFonts w:ascii="Cambria Math" w:hAnsi="Cambria Math"/>
                <w:sz w:val="22"/>
                <w:szCs w:val="22"/>
              </w:rPr>
              <m:t>d,i,t</m:t>
            </m:r>
          </m:sub>
          <m:sup>
            <m:r>
              <m:rPr>
                <m:sty m:val="p"/>
              </m:rPr>
              <w:rPr>
                <w:rFonts w:ascii="Cambria Math" w:hAnsi="Cambria Math"/>
                <w:sz w:val="22"/>
                <w:szCs w:val="22"/>
              </w:rPr>
              <m:t>'</m:t>
            </m:r>
          </m:sup>
        </m:sSubSup>
      </m:oMath>
      <w:r w:rsidR="00A20361" w:rsidRPr="005B294B">
        <w:rPr>
          <w:rFonts w:hint="eastAsia"/>
          <w:sz w:val="22"/>
          <w:szCs w:val="22"/>
        </w:rPr>
        <w:t xml:space="preserve"> </w:t>
      </w:r>
      <w:r w:rsidR="00A20361" w:rsidRPr="005B294B">
        <w:rPr>
          <w:sz w:val="22"/>
          <w:szCs w:val="22"/>
        </w:rPr>
        <w:t>include</w:t>
      </w:r>
      <w:r w:rsidR="00A20361" w:rsidRPr="005B294B">
        <w:rPr>
          <w:rFonts w:hint="eastAsia"/>
          <w:sz w:val="22"/>
          <w:szCs w:val="22"/>
        </w:rPr>
        <w:t>s the same</w:t>
      </w:r>
      <w:r w:rsidR="00A20361" w:rsidRPr="005B294B">
        <w:rPr>
          <w:sz w:val="22"/>
          <w:szCs w:val="22"/>
        </w:rPr>
        <w:t xml:space="preserve"> </w:t>
      </w:r>
      <w:r w:rsidR="00A20361" w:rsidRPr="005B294B">
        <w:rPr>
          <w:rFonts w:hint="eastAsia"/>
          <w:sz w:val="22"/>
          <w:szCs w:val="22"/>
        </w:rPr>
        <w:t>control</w:t>
      </w:r>
      <w:r w:rsidR="00A20361" w:rsidRPr="005B294B">
        <w:rPr>
          <w:sz w:val="22"/>
          <w:szCs w:val="22"/>
        </w:rPr>
        <w:t xml:space="preserve">s </w:t>
      </w:r>
      <w:r w:rsidR="00ED7ADC">
        <w:rPr>
          <w:sz w:val="22"/>
          <w:szCs w:val="22"/>
        </w:rPr>
        <w:t xml:space="preserve">used in the baseline model but constructed </w:t>
      </w:r>
      <w:r w:rsidR="00A20361" w:rsidRPr="005B294B">
        <w:rPr>
          <w:rFonts w:hint="eastAsia"/>
          <w:sz w:val="22"/>
          <w:szCs w:val="22"/>
        </w:rPr>
        <w:t xml:space="preserve">at </w:t>
      </w:r>
      <w:r w:rsidR="00ED7ADC">
        <w:rPr>
          <w:sz w:val="22"/>
          <w:szCs w:val="22"/>
        </w:rPr>
        <w:t xml:space="preserve">the </w:t>
      </w:r>
      <w:r w:rsidR="00A20361" w:rsidRPr="005B294B">
        <w:rPr>
          <w:rFonts w:hint="eastAsia"/>
          <w:sz w:val="22"/>
          <w:szCs w:val="22"/>
        </w:rPr>
        <w:t xml:space="preserve">school district level </w:t>
      </w:r>
      <w:r w:rsidR="00ED7ADC">
        <w:rPr>
          <w:sz w:val="22"/>
          <w:szCs w:val="22"/>
        </w:rPr>
        <w:t>instead of the commuting zone level. The control variables are</w:t>
      </w:r>
      <w:r w:rsidR="00A20361" w:rsidRPr="005B294B">
        <w:rPr>
          <w:rFonts w:hint="eastAsia"/>
          <w:sz w:val="22"/>
          <w:szCs w:val="22"/>
        </w:rPr>
        <w:t xml:space="preserve">: </w:t>
      </w:r>
      <w:r w:rsidR="00ED7ADC">
        <w:rPr>
          <w:sz w:val="22"/>
          <w:szCs w:val="22"/>
        </w:rPr>
        <w:t xml:space="preserve">share </w:t>
      </w:r>
      <w:r w:rsidR="00A20361" w:rsidRPr="005B294B">
        <w:rPr>
          <w:sz w:val="22"/>
          <w:szCs w:val="22"/>
        </w:rPr>
        <w:t>high skill</w:t>
      </w:r>
      <w:r w:rsidR="00ED7ADC">
        <w:rPr>
          <w:sz w:val="22"/>
          <w:szCs w:val="22"/>
        </w:rPr>
        <w:t>ed</w:t>
      </w:r>
      <w:r w:rsidR="00A20361" w:rsidRPr="005B294B">
        <w:rPr>
          <w:sz w:val="22"/>
          <w:szCs w:val="22"/>
        </w:rPr>
        <w:t xml:space="preserve">, </w:t>
      </w:r>
      <w:r w:rsidR="00ED7ADC">
        <w:rPr>
          <w:sz w:val="22"/>
          <w:szCs w:val="22"/>
        </w:rPr>
        <w:t xml:space="preserve">share </w:t>
      </w:r>
      <w:r w:rsidR="00A20361" w:rsidRPr="005B294B">
        <w:rPr>
          <w:sz w:val="22"/>
          <w:szCs w:val="22"/>
        </w:rPr>
        <w:t xml:space="preserve">foreign born, </w:t>
      </w:r>
      <w:r w:rsidR="00ED7ADC">
        <w:rPr>
          <w:sz w:val="22"/>
          <w:szCs w:val="22"/>
        </w:rPr>
        <w:t xml:space="preserve">share of </w:t>
      </w:r>
      <w:r w:rsidR="00A20361" w:rsidRPr="005B294B">
        <w:rPr>
          <w:sz w:val="22"/>
          <w:szCs w:val="22"/>
        </w:rPr>
        <w:t xml:space="preserve">working age women </w:t>
      </w:r>
      <w:r w:rsidR="00ED7ADC">
        <w:rPr>
          <w:sz w:val="22"/>
          <w:szCs w:val="22"/>
        </w:rPr>
        <w:t>who are employed</w:t>
      </w:r>
      <w:r w:rsidR="00A20361" w:rsidRPr="005B294B">
        <w:rPr>
          <w:sz w:val="22"/>
          <w:szCs w:val="22"/>
        </w:rPr>
        <w:t>,</w:t>
      </w:r>
      <w:r w:rsidR="00A20361" w:rsidRPr="005B294B">
        <w:rPr>
          <w:rFonts w:hint="eastAsia"/>
          <w:sz w:val="22"/>
          <w:szCs w:val="22"/>
        </w:rPr>
        <w:t xml:space="preserve"> share between </w:t>
      </w:r>
      <w:r w:rsidR="00ED7ADC">
        <w:rPr>
          <w:sz w:val="22"/>
          <w:szCs w:val="22"/>
        </w:rPr>
        <w:t xml:space="preserve">the ages of </w:t>
      </w:r>
      <w:r w:rsidR="00A20361" w:rsidRPr="005B294B">
        <w:rPr>
          <w:rFonts w:hint="eastAsia"/>
          <w:sz w:val="22"/>
          <w:szCs w:val="22"/>
        </w:rPr>
        <w:t xml:space="preserve">5 </w:t>
      </w:r>
      <w:r w:rsidR="00A20361" w:rsidRPr="005B294B">
        <w:rPr>
          <w:sz w:val="22"/>
          <w:szCs w:val="22"/>
        </w:rPr>
        <w:t>and</w:t>
      </w:r>
      <w:r w:rsidR="00A20361" w:rsidRPr="005B294B">
        <w:rPr>
          <w:rFonts w:hint="eastAsia"/>
          <w:sz w:val="22"/>
          <w:szCs w:val="22"/>
        </w:rPr>
        <w:t xml:space="preserve"> 18, share above </w:t>
      </w:r>
      <w:r w:rsidR="00ED7ADC">
        <w:rPr>
          <w:sz w:val="22"/>
          <w:szCs w:val="22"/>
        </w:rPr>
        <w:t xml:space="preserve">age </w:t>
      </w:r>
      <w:r w:rsidR="00A20361" w:rsidRPr="005B294B">
        <w:rPr>
          <w:rFonts w:hint="eastAsia"/>
          <w:sz w:val="22"/>
          <w:szCs w:val="22"/>
        </w:rPr>
        <w:t xml:space="preserve">65, share Hispanics, share black, share Asian, share of </w:t>
      </w:r>
      <w:r w:rsidR="00ED7ADC">
        <w:rPr>
          <w:sz w:val="22"/>
          <w:szCs w:val="22"/>
        </w:rPr>
        <w:t xml:space="preserve">the </w:t>
      </w:r>
      <w:r w:rsidR="00A20361" w:rsidRPr="005B294B">
        <w:rPr>
          <w:rFonts w:hint="eastAsia"/>
          <w:sz w:val="22"/>
          <w:szCs w:val="22"/>
        </w:rPr>
        <w:t xml:space="preserve">population </w:t>
      </w:r>
      <w:r w:rsidR="00ED7ADC">
        <w:rPr>
          <w:sz w:val="22"/>
          <w:szCs w:val="22"/>
        </w:rPr>
        <w:t xml:space="preserve">with incomes </w:t>
      </w:r>
      <w:r w:rsidR="00A20361" w:rsidRPr="005B294B">
        <w:rPr>
          <w:rFonts w:hint="eastAsia"/>
          <w:sz w:val="22"/>
          <w:szCs w:val="22"/>
        </w:rPr>
        <w:t xml:space="preserve">under </w:t>
      </w:r>
      <w:r w:rsidR="00ED7ADC">
        <w:rPr>
          <w:sz w:val="22"/>
          <w:szCs w:val="22"/>
        </w:rPr>
        <w:t xml:space="preserve">the </w:t>
      </w:r>
      <w:r w:rsidR="00A20361" w:rsidRPr="005B294B">
        <w:rPr>
          <w:rFonts w:hint="eastAsia"/>
          <w:sz w:val="22"/>
          <w:szCs w:val="22"/>
        </w:rPr>
        <w:t xml:space="preserve">1980 </w:t>
      </w:r>
      <w:r w:rsidR="00A20361" w:rsidRPr="005B294B">
        <w:rPr>
          <w:sz w:val="22"/>
          <w:szCs w:val="22"/>
        </w:rPr>
        <w:t>poverty</w:t>
      </w:r>
      <w:r w:rsidR="00A20361" w:rsidRPr="005B294B">
        <w:rPr>
          <w:rFonts w:hint="eastAsia"/>
          <w:sz w:val="22"/>
          <w:szCs w:val="22"/>
        </w:rPr>
        <w:t xml:space="preserve"> line and local median family income</w:t>
      </w:r>
      <w:r w:rsidR="00A20361" w:rsidRPr="005B294B">
        <w:rPr>
          <w:sz w:val="22"/>
          <w:szCs w:val="22"/>
        </w:rPr>
        <w:t xml:space="preserve">. </w:t>
      </w:r>
    </w:p>
    <w:p w14:paraId="74105FA4" w14:textId="1E0D3051" w:rsidR="00A20361" w:rsidRDefault="00A20361" w:rsidP="00A20361">
      <w:pPr>
        <w:spacing w:after="100" w:line="340" w:lineRule="auto"/>
        <w:jc w:val="both"/>
        <w:rPr>
          <w:sz w:val="22"/>
          <w:szCs w:val="22"/>
        </w:rPr>
      </w:pPr>
      <w:r>
        <w:rPr>
          <w:sz w:val="22"/>
          <w:szCs w:val="22"/>
        </w:rPr>
        <w:t xml:space="preserve">            </w:t>
      </w:r>
      <w:r w:rsidRPr="005B294B">
        <w:rPr>
          <w:rFonts w:hint="eastAsia"/>
          <w:sz w:val="22"/>
          <w:szCs w:val="22"/>
        </w:rPr>
        <w:t xml:space="preserve">Table </w:t>
      </w:r>
      <w:r>
        <w:rPr>
          <w:sz w:val="22"/>
          <w:szCs w:val="22"/>
        </w:rPr>
        <w:t>9</w:t>
      </w:r>
      <w:r w:rsidRPr="005B294B">
        <w:rPr>
          <w:rFonts w:hint="eastAsia"/>
          <w:sz w:val="22"/>
          <w:szCs w:val="22"/>
        </w:rPr>
        <w:t xml:space="preserve"> shows the result</w:t>
      </w:r>
      <w:r>
        <w:rPr>
          <w:sz w:val="22"/>
          <w:szCs w:val="22"/>
        </w:rPr>
        <w:t>s</w:t>
      </w:r>
      <w:r w:rsidRPr="005B294B">
        <w:rPr>
          <w:rFonts w:hint="eastAsia"/>
          <w:sz w:val="22"/>
          <w:szCs w:val="22"/>
        </w:rPr>
        <w:t xml:space="preserve"> from </w:t>
      </w:r>
      <w:r>
        <w:rPr>
          <w:sz w:val="22"/>
          <w:szCs w:val="22"/>
        </w:rPr>
        <w:t>estimating equation</w:t>
      </w:r>
      <w:r w:rsidRPr="005B294B">
        <w:rPr>
          <w:rFonts w:hint="eastAsia"/>
          <w:sz w:val="22"/>
          <w:szCs w:val="22"/>
        </w:rPr>
        <w:t xml:space="preserve"> (4)</w:t>
      </w:r>
      <w:r>
        <w:rPr>
          <w:sz w:val="22"/>
          <w:szCs w:val="22"/>
        </w:rPr>
        <w:t xml:space="preserve">. </w:t>
      </w:r>
      <w:r w:rsidRPr="005B294B">
        <w:rPr>
          <w:rFonts w:hint="eastAsia"/>
          <w:sz w:val="22"/>
          <w:szCs w:val="22"/>
        </w:rPr>
        <w:t xml:space="preserve"> </w:t>
      </w:r>
      <w:r>
        <w:rPr>
          <w:sz w:val="22"/>
          <w:szCs w:val="22"/>
        </w:rPr>
        <w:t>D</w:t>
      </w:r>
      <w:r w:rsidRPr="005B294B">
        <w:rPr>
          <w:rFonts w:hint="eastAsia"/>
          <w:sz w:val="22"/>
          <w:szCs w:val="22"/>
        </w:rPr>
        <w:t>ifferent school districts in the same CZ share the same import exposure per worker</w:t>
      </w:r>
      <w:r w:rsidR="000F7E9E">
        <w:rPr>
          <w:sz w:val="22"/>
          <w:szCs w:val="22"/>
        </w:rPr>
        <w:t>,</w:t>
      </w:r>
      <w:r w:rsidRPr="005B294B">
        <w:rPr>
          <w:rFonts w:hint="eastAsia"/>
          <w:sz w:val="22"/>
          <w:szCs w:val="22"/>
        </w:rPr>
        <w:t xml:space="preserve"> but they have different start of period manufacturing employment shar</w:t>
      </w:r>
      <w:r w:rsidR="000F7E9E">
        <w:rPr>
          <w:rFonts w:hint="eastAsia"/>
          <w:sz w:val="22"/>
          <w:szCs w:val="22"/>
        </w:rPr>
        <w:t xml:space="preserve">es. </w:t>
      </w:r>
      <w:r w:rsidR="000F7E9E">
        <w:rPr>
          <w:sz w:val="22"/>
          <w:szCs w:val="22"/>
        </w:rPr>
        <w:t>I</w:t>
      </w:r>
      <w:r>
        <w:rPr>
          <w:sz w:val="22"/>
          <w:szCs w:val="22"/>
        </w:rPr>
        <w:t xml:space="preserve">f local governments compensate for </w:t>
      </w:r>
      <w:r w:rsidR="000F7E9E">
        <w:rPr>
          <w:sz w:val="22"/>
          <w:szCs w:val="22"/>
        </w:rPr>
        <w:t xml:space="preserve">the </w:t>
      </w:r>
      <w:r>
        <w:rPr>
          <w:sz w:val="22"/>
          <w:szCs w:val="22"/>
        </w:rPr>
        <w:t>los</w:t>
      </w:r>
      <w:r w:rsidR="000F7E9E">
        <w:rPr>
          <w:sz w:val="22"/>
          <w:szCs w:val="22"/>
        </w:rPr>
        <w:t>t revenue</w:t>
      </w:r>
      <w:r>
        <w:rPr>
          <w:sz w:val="22"/>
          <w:szCs w:val="22"/>
        </w:rPr>
        <w:t xml:space="preserve"> in property values by</w:t>
      </w:r>
      <w:r w:rsidR="000F7E9E">
        <w:rPr>
          <w:sz w:val="22"/>
          <w:szCs w:val="22"/>
        </w:rPr>
        <w:t xml:space="preserve"> increasing property tax rates or if they allocate more of their lower tax revenues to schools, then </w:t>
      </w:r>
      <w:r>
        <w:rPr>
          <w:sz w:val="22"/>
          <w:szCs w:val="22"/>
        </w:rPr>
        <w:t xml:space="preserve">we expect </w:t>
      </w:r>
      <w:r w:rsidR="000F7E9E">
        <w:rPr>
          <w:sz w:val="22"/>
          <w:szCs w:val="22"/>
        </w:rPr>
        <w:t>to estimate a positive</w:t>
      </w:r>
      <w:r>
        <w:rPr>
          <w:sz w:val="22"/>
          <w:szCs w:val="22"/>
        </w:rPr>
        <w:t xml:space="preserve"> coefficient </w:t>
      </w:r>
      <w:r w:rsidR="000F7E9E">
        <w:rPr>
          <w:sz w:val="22"/>
          <w:szCs w:val="22"/>
        </w:rPr>
        <w:t xml:space="preserve">on </w:t>
      </w:r>
      <w:r w:rsidRPr="005B294B">
        <w:rPr>
          <w:rFonts w:hint="eastAsia"/>
          <w:sz w:val="22"/>
          <w:szCs w:val="22"/>
        </w:rPr>
        <w:t>the interaction term</w:t>
      </w:r>
      <w:r>
        <w:rPr>
          <w:sz w:val="22"/>
          <w:szCs w:val="22"/>
        </w:rPr>
        <w:t xml:space="preserve"> or at least </w:t>
      </w:r>
      <w:r w:rsidR="000F7E9E">
        <w:rPr>
          <w:sz w:val="22"/>
          <w:szCs w:val="22"/>
        </w:rPr>
        <w:t xml:space="preserve">for it to be </w:t>
      </w:r>
      <w:r>
        <w:rPr>
          <w:sz w:val="22"/>
          <w:szCs w:val="22"/>
        </w:rPr>
        <w:t xml:space="preserve">close to zero. If the local governments </w:t>
      </w:r>
      <w:r>
        <w:rPr>
          <w:sz w:val="22"/>
          <w:szCs w:val="22"/>
        </w:rPr>
        <w:lastRenderedPageBreak/>
        <w:t>do not compensate the loss in property value</w:t>
      </w:r>
      <w:r w:rsidR="000F7E9E">
        <w:rPr>
          <w:sz w:val="22"/>
          <w:szCs w:val="22"/>
        </w:rPr>
        <w:t xml:space="preserve"> and do not reallocate more funding to schools</w:t>
      </w:r>
      <w:r>
        <w:rPr>
          <w:sz w:val="22"/>
          <w:szCs w:val="22"/>
        </w:rPr>
        <w:t xml:space="preserve">, then we expect the coefficient of </w:t>
      </w:r>
      <w:r w:rsidRPr="005B294B">
        <w:rPr>
          <w:rFonts w:hint="eastAsia"/>
          <w:sz w:val="22"/>
          <w:szCs w:val="22"/>
        </w:rPr>
        <w:t>the interaction term</w:t>
      </w:r>
      <w:r>
        <w:rPr>
          <w:sz w:val="22"/>
          <w:szCs w:val="22"/>
        </w:rPr>
        <w:t xml:space="preserve"> to be negative. </w:t>
      </w:r>
    </w:p>
    <w:p w14:paraId="333205C6" w14:textId="0A99F6C8" w:rsidR="00A20361" w:rsidRDefault="00A20361" w:rsidP="00A20361">
      <w:pPr>
        <w:spacing w:after="100" w:line="340" w:lineRule="auto"/>
        <w:jc w:val="both"/>
        <w:rPr>
          <w:sz w:val="22"/>
          <w:szCs w:val="22"/>
        </w:rPr>
      </w:pPr>
      <w:r>
        <w:rPr>
          <w:sz w:val="22"/>
          <w:szCs w:val="22"/>
        </w:rPr>
        <w:t xml:space="preserve">            Results are </w:t>
      </w:r>
      <w:r w:rsidR="005F28F8">
        <w:rPr>
          <w:sz w:val="22"/>
          <w:szCs w:val="22"/>
        </w:rPr>
        <w:t xml:space="preserve">shown </w:t>
      </w:r>
      <w:r>
        <w:rPr>
          <w:sz w:val="22"/>
          <w:szCs w:val="22"/>
        </w:rPr>
        <w:t xml:space="preserve">in Table 9. </w:t>
      </w:r>
      <w:r w:rsidR="00450263">
        <w:t xml:space="preserve">The results in column 1 of table 9 suggest that districts in which many people are employed in the manufacturing sector do not experience different in expenditures compared to districts where few are employed in manufacturing. </w:t>
      </w:r>
      <w:r>
        <w:rPr>
          <w:sz w:val="22"/>
          <w:szCs w:val="22"/>
        </w:rPr>
        <w:t>Column (2) implies</w:t>
      </w:r>
      <w:r w:rsidRPr="005B294B">
        <w:rPr>
          <w:sz w:val="22"/>
          <w:szCs w:val="22"/>
        </w:rPr>
        <w:t xml:space="preserve"> that</w:t>
      </w:r>
      <w:r w:rsidRPr="005B294B">
        <w:rPr>
          <w:rFonts w:hint="eastAsia"/>
          <w:sz w:val="22"/>
          <w:szCs w:val="22"/>
        </w:rPr>
        <w:t xml:space="preserve"> the story</w:t>
      </w:r>
      <w:r>
        <w:rPr>
          <w:sz w:val="22"/>
          <w:szCs w:val="22"/>
        </w:rPr>
        <w:t xml:space="preserve"> also</w:t>
      </w:r>
      <w:r w:rsidRPr="005B294B">
        <w:rPr>
          <w:rFonts w:hint="eastAsia"/>
          <w:sz w:val="22"/>
          <w:szCs w:val="22"/>
        </w:rPr>
        <w:t xml:space="preserve"> </w:t>
      </w:r>
      <w:r w:rsidRPr="005B294B">
        <w:rPr>
          <w:sz w:val="22"/>
          <w:szCs w:val="22"/>
        </w:rPr>
        <w:t>holds</w:t>
      </w:r>
      <w:r w:rsidRPr="005B294B">
        <w:rPr>
          <w:rFonts w:hint="eastAsia"/>
          <w:sz w:val="22"/>
          <w:szCs w:val="22"/>
        </w:rPr>
        <w:t xml:space="preserve"> for total revenue per-pupil. </w:t>
      </w:r>
      <w:r w:rsidR="007C6B1D">
        <w:rPr>
          <w:sz w:val="22"/>
          <w:szCs w:val="22"/>
        </w:rPr>
        <w:t>The positive but statistically insignificant estimated coefficient on the interaction shown in c</w:t>
      </w:r>
      <w:r w:rsidRPr="005B294B">
        <w:rPr>
          <w:rFonts w:hint="eastAsia"/>
          <w:sz w:val="22"/>
          <w:szCs w:val="22"/>
        </w:rPr>
        <w:t>olumn (</w:t>
      </w:r>
      <w:r>
        <w:rPr>
          <w:sz w:val="22"/>
          <w:szCs w:val="22"/>
        </w:rPr>
        <w:t>3</w:t>
      </w:r>
      <w:r w:rsidRPr="005B294B">
        <w:rPr>
          <w:rFonts w:hint="eastAsia"/>
          <w:sz w:val="22"/>
          <w:szCs w:val="22"/>
        </w:rPr>
        <w:t xml:space="preserve">) </w:t>
      </w:r>
      <w:r w:rsidR="007C6B1D">
        <w:rPr>
          <w:sz w:val="22"/>
          <w:szCs w:val="22"/>
        </w:rPr>
        <w:t>suggests that there is</w:t>
      </w:r>
      <w:r>
        <w:rPr>
          <w:sz w:val="22"/>
          <w:szCs w:val="22"/>
        </w:rPr>
        <w:t xml:space="preserve"> no evidence of local government</w:t>
      </w:r>
      <w:r w:rsidR="007C6B1D">
        <w:rPr>
          <w:sz w:val="22"/>
          <w:szCs w:val="22"/>
        </w:rPr>
        <w:t>s</w:t>
      </w:r>
      <w:r>
        <w:rPr>
          <w:sz w:val="22"/>
          <w:szCs w:val="22"/>
        </w:rPr>
        <w:t xml:space="preserve"> compensating school districts hit harder by import competition. </w:t>
      </w:r>
      <w:r w:rsidR="007C6B1D">
        <w:rPr>
          <w:sz w:val="22"/>
          <w:szCs w:val="22"/>
        </w:rPr>
        <w:t>In the specification considering impacts on state funding, shown in c</w:t>
      </w:r>
      <w:r>
        <w:rPr>
          <w:sz w:val="22"/>
          <w:szCs w:val="22"/>
        </w:rPr>
        <w:t>olumn (5)</w:t>
      </w:r>
      <w:r w:rsidR="007C6B1D">
        <w:rPr>
          <w:sz w:val="22"/>
          <w:szCs w:val="22"/>
        </w:rPr>
        <w:t>, again there is no evidence that states compensate</w:t>
      </w:r>
      <w:r>
        <w:rPr>
          <w:sz w:val="22"/>
          <w:szCs w:val="22"/>
        </w:rPr>
        <w:t xml:space="preserve"> school districts with </w:t>
      </w:r>
      <w:r w:rsidR="007C6B1D">
        <w:rPr>
          <w:sz w:val="22"/>
          <w:szCs w:val="22"/>
        </w:rPr>
        <w:t>presumably more manufacturing job loss (given higher initial employment shares in manufacturing) by providing more state funding.</w:t>
      </w:r>
    </w:p>
    <w:p w14:paraId="211445B0" w14:textId="48E447E6" w:rsidR="00A20361" w:rsidRPr="005D5ABC" w:rsidRDefault="003F62F5" w:rsidP="00A20361">
      <w:pPr>
        <w:spacing w:line="360" w:lineRule="auto"/>
        <w:jc w:val="both"/>
        <w:rPr>
          <w:rFonts w:ascii="Times" w:hAnsi="Times" w:cs="Times"/>
          <w:b/>
          <w:color w:val="000000"/>
        </w:rPr>
      </w:pPr>
      <w:r w:rsidRPr="005D5ABC">
        <w:rPr>
          <w:rFonts w:ascii="Times" w:hAnsi="Times" w:cs="Times"/>
          <w:b/>
          <w:color w:val="000000"/>
        </w:rPr>
        <w:t>8</w:t>
      </w:r>
      <w:r w:rsidR="00A20361" w:rsidRPr="005D5ABC">
        <w:rPr>
          <w:rFonts w:ascii="Times" w:hAnsi="Times" w:cs="Times"/>
          <w:b/>
          <w:color w:val="000000"/>
        </w:rPr>
        <w:t>.</w:t>
      </w:r>
      <w:r w:rsidR="004D7871" w:rsidRPr="005D5ABC">
        <w:rPr>
          <w:rFonts w:ascii="Times" w:hAnsi="Times" w:cs="Times"/>
          <w:b/>
          <w:color w:val="000000"/>
        </w:rPr>
        <w:t xml:space="preserve"> Does Selective Migration Exacerbate </w:t>
      </w:r>
      <w:r w:rsidRPr="005D5ABC">
        <w:rPr>
          <w:rFonts w:ascii="Times" w:hAnsi="Times" w:cs="Times"/>
          <w:b/>
          <w:color w:val="000000"/>
        </w:rPr>
        <w:t xml:space="preserve">the </w:t>
      </w:r>
      <w:r w:rsidR="004D7871" w:rsidRPr="005D5ABC">
        <w:rPr>
          <w:rFonts w:ascii="Times" w:hAnsi="Times" w:cs="Times"/>
          <w:b/>
          <w:color w:val="000000"/>
        </w:rPr>
        <w:t xml:space="preserve">Impact of Trade Shocks? </w:t>
      </w:r>
    </w:p>
    <w:p w14:paraId="21C232BA" w14:textId="0F0AA5A1" w:rsidR="00A20361" w:rsidRDefault="00A20361" w:rsidP="00C14FBE">
      <w:pPr>
        <w:pStyle w:val="CommentText"/>
        <w:spacing w:line="360" w:lineRule="auto"/>
        <w:jc w:val="both"/>
        <w:rPr>
          <w:sz w:val="22"/>
          <w:szCs w:val="22"/>
        </w:rPr>
      </w:pPr>
      <w:r>
        <w:rPr>
          <w:sz w:val="22"/>
          <w:szCs w:val="22"/>
        </w:rPr>
        <w:t xml:space="preserve">           </w:t>
      </w:r>
      <w:r w:rsidR="0069734C">
        <w:rPr>
          <w:sz w:val="22"/>
          <w:szCs w:val="22"/>
        </w:rPr>
        <w:t xml:space="preserve">Thus far, I </w:t>
      </w:r>
      <w:r w:rsidR="0069734C" w:rsidRPr="0069734C">
        <w:rPr>
          <w:sz w:val="22"/>
          <w:szCs w:val="22"/>
        </w:rPr>
        <w:t xml:space="preserve">have implicitly assumed that people in commuting zones hit hardest by </w:t>
      </w:r>
      <w:r w:rsidR="00C50777">
        <w:rPr>
          <w:sz w:val="22"/>
          <w:szCs w:val="22"/>
        </w:rPr>
        <w:t>C</w:t>
      </w:r>
      <w:r w:rsidR="0069734C" w:rsidRPr="0069734C">
        <w:rPr>
          <w:sz w:val="22"/>
          <w:szCs w:val="22"/>
        </w:rPr>
        <w:t>hinese imports do not leave these commuting zones looking for better opportunities elsewhere. This assumption is backed by</w:t>
      </w:r>
      <w:r w:rsidR="00C50777">
        <w:rPr>
          <w:sz w:val="22"/>
          <w:szCs w:val="22"/>
        </w:rPr>
        <w:t xml:space="preserve"> the </w:t>
      </w:r>
      <w:r w:rsidR="00C50777" w:rsidRPr="0069734C">
        <w:rPr>
          <w:sz w:val="22"/>
          <w:szCs w:val="22"/>
        </w:rPr>
        <w:t>evidence in</w:t>
      </w:r>
      <w:r w:rsidR="00C50777">
        <w:rPr>
          <w:sz w:val="22"/>
          <w:szCs w:val="22"/>
        </w:rPr>
        <w:t xml:space="preserve"> </w:t>
      </w:r>
      <w:r w:rsidR="00C50777" w:rsidRPr="0069734C">
        <w:rPr>
          <w:sz w:val="22"/>
          <w:szCs w:val="22"/>
        </w:rPr>
        <w:t>Autor et al. (2013) that</w:t>
      </w:r>
      <w:r w:rsidR="00C50777">
        <w:rPr>
          <w:sz w:val="22"/>
          <w:szCs w:val="22"/>
        </w:rPr>
        <w:t xml:space="preserve"> </w:t>
      </w:r>
      <w:r w:rsidR="00C14FBE">
        <w:rPr>
          <w:sz w:val="22"/>
          <w:szCs w:val="22"/>
        </w:rPr>
        <w:t>import shock</w:t>
      </w:r>
      <w:r w:rsidR="007C6B1D">
        <w:rPr>
          <w:sz w:val="22"/>
          <w:szCs w:val="22"/>
        </w:rPr>
        <w:t xml:space="preserve">s were not associated with changes in commuting zone population sizes. </w:t>
      </w:r>
      <w:r w:rsidR="00C14FBE">
        <w:rPr>
          <w:sz w:val="22"/>
          <w:szCs w:val="22"/>
        </w:rPr>
        <w:t>However,</w:t>
      </w:r>
      <w:r w:rsidR="00C50777" w:rsidRPr="0069734C">
        <w:rPr>
          <w:sz w:val="22"/>
          <w:szCs w:val="22"/>
        </w:rPr>
        <w:t xml:space="preserve"> Greenland et al. </w:t>
      </w:r>
      <w:r>
        <w:rPr>
          <w:sz w:val="22"/>
          <w:szCs w:val="22"/>
        </w:rPr>
        <w:t xml:space="preserve">(2017) </w:t>
      </w:r>
      <w:r w:rsidR="00C14FBE">
        <w:rPr>
          <w:sz w:val="22"/>
          <w:szCs w:val="22"/>
        </w:rPr>
        <w:t xml:space="preserve">show </w:t>
      </w:r>
      <w:r w:rsidRPr="00C65704">
        <w:rPr>
          <w:rFonts w:ascii="Calibri" w:hAnsi="Calibri" w:cs="Calibri"/>
          <w:sz w:val="22"/>
          <w:szCs w:val="22"/>
        </w:rPr>
        <w:t>﻿</w:t>
      </w:r>
      <w:r w:rsidR="005F28F8">
        <w:rPr>
          <w:rFonts w:ascii="Calibri" w:hAnsi="Calibri" w:cs="Calibri"/>
          <w:sz w:val="22"/>
          <w:szCs w:val="22"/>
        </w:rPr>
        <w:t xml:space="preserve">that </w:t>
      </w:r>
      <w:r w:rsidRPr="00C65704">
        <w:rPr>
          <w:sz w:val="22"/>
          <w:szCs w:val="22"/>
        </w:rPr>
        <w:t xml:space="preserve">local labor markets </w:t>
      </w:r>
      <w:r w:rsidR="007C6B1D">
        <w:rPr>
          <w:sz w:val="22"/>
          <w:szCs w:val="22"/>
        </w:rPr>
        <w:t xml:space="preserve">with more exposure </w:t>
      </w:r>
      <w:r w:rsidRPr="00C65704">
        <w:rPr>
          <w:sz w:val="22"/>
          <w:szCs w:val="22"/>
        </w:rPr>
        <w:t xml:space="preserve">to </w:t>
      </w:r>
      <w:r w:rsidR="00FB62B2">
        <w:rPr>
          <w:sz w:val="22"/>
          <w:szCs w:val="22"/>
        </w:rPr>
        <w:t>trade shock</w:t>
      </w:r>
      <w:r w:rsidRPr="00C65704">
        <w:rPr>
          <w:sz w:val="22"/>
          <w:szCs w:val="22"/>
        </w:rPr>
        <w:t xml:space="preserve"> experienced a relative reduction in population growth over the following decade</w:t>
      </w:r>
      <w:r w:rsidR="00C14FBE">
        <w:rPr>
          <w:sz w:val="22"/>
          <w:szCs w:val="22"/>
        </w:rPr>
        <w:t>.</w:t>
      </w:r>
      <w:r w:rsidRPr="00C65704">
        <w:rPr>
          <w:sz w:val="22"/>
          <w:szCs w:val="22"/>
        </w:rPr>
        <w:t xml:space="preserve"> </w:t>
      </w:r>
    </w:p>
    <w:p w14:paraId="3220CF7B" w14:textId="06424560" w:rsidR="00A20361" w:rsidRDefault="00A20361" w:rsidP="00A20361">
      <w:pPr>
        <w:spacing w:line="360" w:lineRule="auto"/>
        <w:jc w:val="both"/>
        <w:rPr>
          <w:sz w:val="22"/>
          <w:szCs w:val="22"/>
        </w:rPr>
      </w:pPr>
      <w:r>
        <w:rPr>
          <w:sz w:val="22"/>
          <w:szCs w:val="22"/>
        </w:rPr>
        <w:t xml:space="preserve">            In the context of </w:t>
      </w:r>
      <w:r w:rsidRPr="005B294B">
        <w:rPr>
          <w:rFonts w:hint="eastAsia"/>
          <w:sz w:val="22"/>
          <w:szCs w:val="22"/>
        </w:rPr>
        <w:t xml:space="preserve">this paper, </w:t>
      </w:r>
      <w:r>
        <w:rPr>
          <w:sz w:val="22"/>
          <w:szCs w:val="22"/>
        </w:rPr>
        <w:t xml:space="preserve">migration could be a potential mechanism if </w:t>
      </w:r>
      <w:r w:rsidR="007C6B1D">
        <w:rPr>
          <w:sz w:val="22"/>
          <w:szCs w:val="22"/>
        </w:rPr>
        <w:t xml:space="preserve">high income </w:t>
      </w:r>
      <w:r w:rsidR="00826C38">
        <w:rPr>
          <w:sz w:val="22"/>
          <w:szCs w:val="22"/>
        </w:rPr>
        <w:t>people leave states hit hardest by Chinese import competition. Highly educated, high income p</w:t>
      </w:r>
      <w:r w:rsidRPr="005B294B">
        <w:rPr>
          <w:rFonts w:hint="eastAsia"/>
          <w:sz w:val="22"/>
          <w:szCs w:val="22"/>
        </w:rPr>
        <w:t>arents</w:t>
      </w:r>
      <w:r w:rsidR="000C0D6C">
        <w:rPr>
          <w:sz w:val="22"/>
          <w:szCs w:val="22"/>
        </w:rPr>
        <w:t xml:space="preserve"> </w:t>
      </w:r>
      <w:r w:rsidR="00826C38">
        <w:rPr>
          <w:sz w:val="22"/>
          <w:szCs w:val="22"/>
        </w:rPr>
        <w:t>may migrate to other states, even without suffering any trade-induced job loss, in response to worsening education quality</w:t>
      </w:r>
      <w:r w:rsidRPr="005B294B">
        <w:rPr>
          <w:rFonts w:hint="eastAsia"/>
          <w:sz w:val="22"/>
          <w:szCs w:val="22"/>
        </w:rPr>
        <w:t>.</w:t>
      </w:r>
      <w:r w:rsidR="009F497A">
        <w:rPr>
          <w:sz w:val="22"/>
          <w:szCs w:val="22"/>
        </w:rPr>
        <w:t xml:space="preserve"> </w:t>
      </w:r>
      <w:r w:rsidR="00702B9C">
        <w:rPr>
          <w:sz w:val="22"/>
          <w:szCs w:val="22"/>
        </w:rPr>
        <w:t>If high income</w:t>
      </w:r>
      <w:r w:rsidRPr="005B294B">
        <w:rPr>
          <w:rFonts w:hint="eastAsia"/>
          <w:sz w:val="22"/>
          <w:szCs w:val="22"/>
        </w:rPr>
        <w:t xml:space="preserve"> parents</w:t>
      </w:r>
      <w:r>
        <w:rPr>
          <w:sz w:val="22"/>
          <w:szCs w:val="22"/>
        </w:rPr>
        <w:t xml:space="preserve">, </w:t>
      </w:r>
      <w:r w:rsidRPr="005B294B">
        <w:rPr>
          <w:rFonts w:hint="eastAsia"/>
          <w:sz w:val="22"/>
          <w:szCs w:val="22"/>
        </w:rPr>
        <w:t xml:space="preserve">who are likely to contribute </w:t>
      </w:r>
      <w:r w:rsidR="00C92DFF">
        <w:rPr>
          <w:sz w:val="22"/>
          <w:szCs w:val="22"/>
        </w:rPr>
        <w:t xml:space="preserve">more </w:t>
      </w:r>
      <w:r w:rsidRPr="005B294B">
        <w:rPr>
          <w:rFonts w:hint="eastAsia"/>
          <w:sz w:val="22"/>
          <w:szCs w:val="22"/>
        </w:rPr>
        <w:t>to tax revenue</w:t>
      </w:r>
      <w:r>
        <w:rPr>
          <w:sz w:val="22"/>
          <w:szCs w:val="22"/>
        </w:rPr>
        <w:t>,</w:t>
      </w:r>
      <w:r w:rsidRPr="005B294B">
        <w:rPr>
          <w:rFonts w:hint="eastAsia"/>
          <w:sz w:val="22"/>
          <w:szCs w:val="22"/>
        </w:rPr>
        <w:t xml:space="preserve"> </w:t>
      </w:r>
      <w:r w:rsidR="00C92DFF">
        <w:rPr>
          <w:sz w:val="22"/>
          <w:szCs w:val="22"/>
        </w:rPr>
        <w:t>are</w:t>
      </w:r>
      <w:r w:rsidR="00FE29FB" w:rsidRPr="005B294B">
        <w:rPr>
          <w:rFonts w:hint="eastAsia"/>
          <w:sz w:val="22"/>
          <w:szCs w:val="22"/>
        </w:rPr>
        <w:t xml:space="preserve"> </w:t>
      </w:r>
      <w:r w:rsidRPr="005B294B">
        <w:rPr>
          <w:rFonts w:hint="eastAsia"/>
          <w:sz w:val="22"/>
          <w:szCs w:val="22"/>
        </w:rPr>
        <w:t xml:space="preserve">more likely to </w:t>
      </w:r>
      <w:r w:rsidR="00C92DFF">
        <w:rPr>
          <w:sz w:val="22"/>
          <w:szCs w:val="22"/>
        </w:rPr>
        <w:t>leave school districts with import-induced decreases in funding, then this</w:t>
      </w:r>
      <w:r w:rsidRPr="005B294B">
        <w:rPr>
          <w:rFonts w:hint="eastAsia"/>
          <w:sz w:val="22"/>
          <w:szCs w:val="22"/>
        </w:rPr>
        <w:t xml:space="preserve"> will </w:t>
      </w:r>
      <w:r w:rsidRPr="005B294B">
        <w:rPr>
          <w:sz w:val="22"/>
          <w:szCs w:val="22"/>
        </w:rPr>
        <w:t>amplify</w:t>
      </w:r>
      <w:r w:rsidRPr="005B294B">
        <w:rPr>
          <w:rFonts w:hint="eastAsia"/>
          <w:sz w:val="22"/>
          <w:szCs w:val="22"/>
        </w:rPr>
        <w:t xml:space="preserve"> the effect of rising import </w:t>
      </w:r>
      <w:r>
        <w:rPr>
          <w:sz w:val="22"/>
          <w:szCs w:val="22"/>
        </w:rPr>
        <w:t xml:space="preserve">competition </w:t>
      </w:r>
      <w:r w:rsidRPr="005B294B">
        <w:rPr>
          <w:rFonts w:hint="eastAsia"/>
          <w:sz w:val="22"/>
          <w:szCs w:val="22"/>
        </w:rPr>
        <w:t>on education expenditure</w:t>
      </w:r>
      <w:r w:rsidR="00C92DFF">
        <w:rPr>
          <w:sz w:val="22"/>
          <w:szCs w:val="22"/>
        </w:rPr>
        <w:t xml:space="preserve"> and </w:t>
      </w:r>
      <w:r w:rsidRPr="005B294B">
        <w:rPr>
          <w:rFonts w:hint="eastAsia"/>
          <w:sz w:val="22"/>
          <w:szCs w:val="22"/>
        </w:rPr>
        <w:t>revenue</w:t>
      </w:r>
      <w:r w:rsidR="00C92DFF">
        <w:rPr>
          <w:sz w:val="22"/>
          <w:szCs w:val="22"/>
        </w:rPr>
        <w:t xml:space="preserve">. </w:t>
      </w:r>
      <w:r>
        <w:rPr>
          <w:sz w:val="22"/>
          <w:szCs w:val="22"/>
        </w:rPr>
        <w:t>To examine this issue,</w:t>
      </w:r>
      <w:r w:rsidRPr="005B294B">
        <w:rPr>
          <w:rFonts w:hint="eastAsia"/>
          <w:sz w:val="22"/>
          <w:szCs w:val="22"/>
        </w:rPr>
        <w:t xml:space="preserve"> I empirically test </w:t>
      </w:r>
      <w:r>
        <w:rPr>
          <w:sz w:val="22"/>
          <w:szCs w:val="22"/>
        </w:rPr>
        <w:t xml:space="preserve">whether </w:t>
      </w:r>
      <w:r w:rsidRPr="005B294B">
        <w:rPr>
          <w:rFonts w:hint="eastAsia"/>
          <w:sz w:val="22"/>
          <w:szCs w:val="22"/>
        </w:rPr>
        <w:t>student enrollment change</w:t>
      </w:r>
      <w:r>
        <w:rPr>
          <w:sz w:val="22"/>
          <w:szCs w:val="22"/>
        </w:rPr>
        <w:t>s</w:t>
      </w:r>
      <w:r w:rsidRPr="005B294B">
        <w:rPr>
          <w:rFonts w:hint="eastAsia"/>
          <w:sz w:val="22"/>
          <w:szCs w:val="22"/>
        </w:rPr>
        <w:t xml:space="preserve"> in response to trade shocks</w:t>
      </w:r>
      <w:r>
        <w:rPr>
          <w:sz w:val="22"/>
          <w:szCs w:val="22"/>
        </w:rPr>
        <w:t xml:space="preserve">. As displayed in Table 11, none of </w:t>
      </w:r>
      <w:r w:rsidRPr="005B294B">
        <w:rPr>
          <w:sz w:val="22"/>
          <w:szCs w:val="22"/>
        </w:rPr>
        <w:t xml:space="preserve">the </w:t>
      </w:r>
      <w:r>
        <w:rPr>
          <w:sz w:val="22"/>
          <w:szCs w:val="22"/>
        </w:rPr>
        <w:t>estimates of coefficients on</w:t>
      </w:r>
      <w:r w:rsidRPr="005B294B">
        <w:rPr>
          <w:rFonts w:hint="eastAsia"/>
          <w:sz w:val="22"/>
          <w:szCs w:val="22"/>
        </w:rPr>
        <w:t xml:space="preserve"> import exposure </w:t>
      </w:r>
      <w:r w:rsidRPr="005B294B">
        <w:rPr>
          <w:sz w:val="22"/>
          <w:szCs w:val="22"/>
        </w:rPr>
        <w:t xml:space="preserve">on Fall semester enrollment </w:t>
      </w:r>
      <w:r>
        <w:rPr>
          <w:sz w:val="22"/>
          <w:szCs w:val="22"/>
        </w:rPr>
        <w:t xml:space="preserve">is statistically </w:t>
      </w:r>
      <w:r w:rsidRPr="005B294B">
        <w:rPr>
          <w:sz w:val="22"/>
          <w:szCs w:val="22"/>
        </w:rPr>
        <w:t>significant</w:t>
      </w:r>
      <w:r>
        <w:rPr>
          <w:sz w:val="22"/>
          <w:szCs w:val="22"/>
        </w:rPr>
        <w:t xml:space="preserve">. </w:t>
      </w:r>
      <w:r w:rsidR="009F497A">
        <w:rPr>
          <w:sz w:val="22"/>
          <w:szCs w:val="22"/>
        </w:rPr>
        <w:t>T</w:t>
      </w:r>
      <w:r w:rsidR="009F497A" w:rsidRPr="005B294B">
        <w:rPr>
          <w:rFonts w:hint="eastAsia"/>
          <w:sz w:val="22"/>
          <w:szCs w:val="22"/>
        </w:rPr>
        <w:t>he magnitude</w:t>
      </w:r>
      <w:r w:rsidR="009F497A">
        <w:rPr>
          <w:sz w:val="22"/>
          <w:szCs w:val="22"/>
        </w:rPr>
        <w:t>s of the estimates in column (1) and (2)</w:t>
      </w:r>
      <w:r w:rsidR="009F497A" w:rsidRPr="005B294B">
        <w:rPr>
          <w:rFonts w:hint="eastAsia"/>
          <w:sz w:val="22"/>
          <w:szCs w:val="22"/>
        </w:rPr>
        <w:t xml:space="preserve"> </w:t>
      </w:r>
      <w:r w:rsidR="009F497A">
        <w:rPr>
          <w:sz w:val="22"/>
          <w:szCs w:val="22"/>
        </w:rPr>
        <w:t>are</w:t>
      </w:r>
      <w:r w:rsidR="009F497A" w:rsidRPr="005B294B">
        <w:rPr>
          <w:rFonts w:hint="eastAsia"/>
          <w:sz w:val="22"/>
          <w:szCs w:val="22"/>
        </w:rPr>
        <w:t xml:space="preserve"> relatively small, </w:t>
      </w:r>
      <w:r w:rsidR="009F497A" w:rsidRPr="005B294B">
        <w:rPr>
          <w:sz w:val="22"/>
          <w:szCs w:val="22"/>
        </w:rPr>
        <w:t>which suggest</w:t>
      </w:r>
      <w:r w:rsidR="009F497A">
        <w:rPr>
          <w:sz w:val="22"/>
          <w:szCs w:val="22"/>
        </w:rPr>
        <w:t>s</w:t>
      </w:r>
      <w:r w:rsidR="009F497A" w:rsidRPr="005B294B">
        <w:rPr>
          <w:sz w:val="22"/>
          <w:szCs w:val="22"/>
        </w:rPr>
        <w:t xml:space="preserve"> no or little migration across CZs</w:t>
      </w:r>
      <w:r w:rsidR="009F497A">
        <w:rPr>
          <w:sz w:val="22"/>
          <w:szCs w:val="22"/>
        </w:rPr>
        <w:t xml:space="preserve"> </w:t>
      </w:r>
      <w:r w:rsidR="009F497A" w:rsidRPr="005B294B">
        <w:rPr>
          <w:sz w:val="22"/>
          <w:szCs w:val="22"/>
        </w:rPr>
        <w:t>in response to change</w:t>
      </w:r>
      <w:r w:rsidR="00826C38">
        <w:rPr>
          <w:sz w:val="22"/>
          <w:szCs w:val="22"/>
        </w:rPr>
        <w:t>s</w:t>
      </w:r>
      <w:r w:rsidR="009F497A" w:rsidRPr="005B294B">
        <w:rPr>
          <w:sz w:val="22"/>
          <w:szCs w:val="22"/>
        </w:rPr>
        <w:t xml:space="preserve"> in local labor market exposure to Chinese imports</w:t>
      </w:r>
      <w:r w:rsidR="009F497A">
        <w:rPr>
          <w:sz w:val="22"/>
          <w:szCs w:val="22"/>
        </w:rPr>
        <w:t>, among families with children</w:t>
      </w:r>
      <w:r w:rsidR="009F497A" w:rsidRPr="005B294B">
        <w:rPr>
          <w:sz w:val="22"/>
          <w:szCs w:val="22"/>
        </w:rPr>
        <w:t xml:space="preserve">. </w:t>
      </w:r>
      <w:r w:rsidRPr="005B294B">
        <w:rPr>
          <w:rFonts w:hint="eastAsia"/>
          <w:sz w:val="22"/>
          <w:szCs w:val="22"/>
        </w:rPr>
        <w:t xml:space="preserve">This result is consistent with the result of Autor </w:t>
      </w:r>
      <w:r w:rsidRPr="005B294B">
        <w:rPr>
          <w:sz w:val="22"/>
          <w:szCs w:val="22"/>
        </w:rPr>
        <w:t>et al. (</w:t>
      </w:r>
      <w:r w:rsidRPr="005B294B">
        <w:rPr>
          <w:rFonts w:hint="eastAsia"/>
          <w:sz w:val="22"/>
          <w:szCs w:val="22"/>
        </w:rPr>
        <w:t>2013), in which they find no significant effect of trade exposure on population flow.</w:t>
      </w:r>
    </w:p>
    <w:p w14:paraId="2FC46738" w14:textId="77777777" w:rsidR="00A20361" w:rsidRDefault="00A20361" w:rsidP="00A20361">
      <w:pPr>
        <w:rPr>
          <w:sz w:val="22"/>
          <w:szCs w:val="22"/>
        </w:rPr>
      </w:pPr>
    </w:p>
    <w:p w14:paraId="1CB89867" w14:textId="6D8AB7E6" w:rsidR="00A20361" w:rsidRPr="00824D77" w:rsidRDefault="005D5ABC" w:rsidP="00A20361">
      <w:pPr>
        <w:jc w:val="both"/>
        <w:rPr>
          <w:rFonts w:ascii="Times" w:hAnsi="Times" w:cs="Times"/>
          <w:b/>
          <w:color w:val="000000"/>
        </w:rPr>
      </w:pPr>
      <w:r>
        <w:rPr>
          <w:rFonts w:ascii="Times" w:hAnsi="Times" w:cs="Times"/>
          <w:b/>
          <w:color w:val="000000"/>
        </w:rPr>
        <w:t>9</w:t>
      </w:r>
      <w:r w:rsidR="00A20361" w:rsidRPr="00824D77">
        <w:rPr>
          <w:rFonts w:ascii="Times" w:hAnsi="Times" w:cs="Times"/>
          <w:b/>
          <w:color w:val="000000"/>
        </w:rPr>
        <w:t>. Conclusion</w:t>
      </w:r>
    </w:p>
    <w:p w14:paraId="70BB5EB6" w14:textId="77777777" w:rsidR="00A20361" w:rsidRDefault="00A20361" w:rsidP="00A20361">
      <w:pPr>
        <w:spacing w:line="360" w:lineRule="auto"/>
        <w:jc w:val="both"/>
        <w:rPr>
          <w:sz w:val="22"/>
          <w:szCs w:val="22"/>
        </w:rPr>
      </w:pPr>
      <w:r>
        <w:rPr>
          <w:sz w:val="22"/>
          <w:szCs w:val="22"/>
        </w:rPr>
        <w:t xml:space="preserve">           </w:t>
      </w:r>
    </w:p>
    <w:p w14:paraId="124CF85E" w14:textId="007D4D96" w:rsidR="00A20361" w:rsidRDefault="00A20361" w:rsidP="00A20361">
      <w:pPr>
        <w:spacing w:line="360" w:lineRule="auto"/>
        <w:jc w:val="both"/>
        <w:rPr>
          <w:sz w:val="22"/>
          <w:szCs w:val="22"/>
        </w:rPr>
      </w:pPr>
      <w:r>
        <w:rPr>
          <w:sz w:val="22"/>
          <w:szCs w:val="22"/>
        </w:rPr>
        <w:t xml:space="preserve">This paper </w:t>
      </w:r>
      <w:r w:rsidR="00862C6C">
        <w:rPr>
          <w:sz w:val="22"/>
          <w:szCs w:val="22"/>
        </w:rPr>
        <w:t xml:space="preserve">examines </w:t>
      </w:r>
      <w:r w:rsidR="00826C38">
        <w:rPr>
          <w:sz w:val="22"/>
          <w:szCs w:val="22"/>
        </w:rPr>
        <w:t xml:space="preserve">how </w:t>
      </w:r>
      <w:r>
        <w:rPr>
          <w:sz w:val="22"/>
          <w:szCs w:val="22"/>
        </w:rPr>
        <w:t xml:space="preserve">rising import competition from China affected per-pupil public education expenditure in the US. </w:t>
      </w:r>
      <w:r w:rsidR="00826C38">
        <w:rPr>
          <w:sz w:val="22"/>
          <w:szCs w:val="22"/>
        </w:rPr>
        <w:t>R</w:t>
      </w:r>
      <w:r>
        <w:rPr>
          <w:sz w:val="22"/>
          <w:szCs w:val="22"/>
        </w:rPr>
        <w:t xml:space="preserve">esults suggest that in places with </w:t>
      </w:r>
      <w:r w:rsidR="00826C38">
        <w:rPr>
          <w:sz w:val="22"/>
          <w:szCs w:val="22"/>
        </w:rPr>
        <w:t>more</w:t>
      </w:r>
      <w:r>
        <w:rPr>
          <w:sz w:val="22"/>
          <w:szCs w:val="22"/>
        </w:rPr>
        <w:t xml:space="preserve"> local labor market import exposure per </w:t>
      </w:r>
      <w:r>
        <w:rPr>
          <w:sz w:val="22"/>
          <w:szCs w:val="22"/>
        </w:rPr>
        <w:lastRenderedPageBreak/>
        <w:t>worker, per-pupil public education expenditure</w:t>
      </w:r>
      <w:r w:rsidR="00FD0B30">
        <w:rPr>
          <w:sz w:val="22"/>
          <w:szCs w:val="22"/>
        </w:rPr>
        <w:t>s</w:t>
      </w:r>
      <w:r>
        <w:rPr>
          <w:sz w:val="22"/>
          <w:szCs w:val="22"/>
        </w:rPr>
        <w:t xml:space="preserve"> </w:t>
      </w:r>
      <w:r w:rsidR="00FD0B30">
        <w:rPr>
          <w:sz w:val="22"/>
          <w:szCs w:val="22"/>
        </w:rPr>
        <w:t>decreased</w:t>
      </w:r>
      <w:r>
        <w:rPr>
          <w:sz w:val="22"/>
          <w:szCs w:val="22"/>
        </w:rPr>
        <w:t xml:space="preserve">. </w:t>
      </w:r>
      <w:r w:rsidR="00FD0B30">
        <w:rPr>
          <w:sz w:val="22"/>
          <w:szCs w:val="22"/>
        </w:rPr>
        <w:t xml:space="preserve">The reduction in expenditures appear driven by reductions in the revenue school districts received from state governments. These decreases in funding from the state were not compensated by increases in funding from local governments or the federal government. Interestingly, although states </w:t>
      </w:r>
      <w:r w:rsidR="005D5ABC">
        <w:rPr>
          <w:sz w:val="22"/>
          <w:szCs w:val="22"/>
        </w:rPr>
        <w:t>started providing</w:t>
      </w:r>
      <w:r w:rsidR="00FD0B30">
        <w:rPr>
          <w:sz w:val="22"/>
          <w:szCs w:val="22"/>
        </w:rPr>
        <w:t xml:space="preserve"> more funding to schools specifically to equalize educational quality across school districts, because state funding is more sensitive to labor market shocks, school districts relying more on state funding suffered more from Chinese import shocks. </w:t>
      </w:r>
    </w:p>
    <w:p w14:paraId="08A3C985" w14:textId="7DAEB2FB" w:rsidR="004D722E" w:rsidRDefault="004D722E" w:rsidP="00A20361">
      <w:pPr>
        <w:spacing w:line="360" w:lineRule="auto"/>
        <w:jc w:val="both"/>
        <w:rPr>
          <w:sz w:val="22"/>
          <w:szCs w:val="22"/>
        </w:rPr>
      </w:pPr>
      <w:r w:rsidRPr="004D722E">
        <w:rPr>
          <w:sz w:val="22"/>
          <w:szCs w:val="22"/>
        </w:rPr>
        <w:t xml:space="preserve">            Autor (2010) shows that in response to the steep rise in wages for college graduates relative to non-college graduates over the past three decades, four-year college attainment has only increased modestly, especially for males. One possible explanation is that K-12 education is not adequately preparing enough students to go to college. Several studies find that students’ K-12 school performance is highly correlated with college continuation (</w:t>
      </w:r>
      <w:proofErr w:type="spellStart"/>
      <w:r w:rsidRPr="004D722E">
        <w:rPr>
          <w:sz w:val="22"/>
          <w:szCs w:val="22"/>
        </w:rPr>
        <w:t>Manski</w:t>
      </w:r>
      <w:proofErr w:type="spellEnd"/>
      <w:r w:rsidRPr="004D722E">
        <w:rPr>
          <w:sz w:val="22"/>
          <w:szCs w:val="22"/>
        </w:rPr>
        <w:t xml:space="preserve"> and Wise, 1983; Rivkin 1995; Behrman et al., 1998) and college completion (Hanushek and Pace, 1995). If school spending has a causal impact on education quality (Hyman 2016, </w:t>
      </w:r>
      <w:proofErr w:type="spellStart"/>
      <w:r w:rsidRPr="004D722E">
        <w:rPr>
          <w:sz w:val="22"/>
          <w:szCs w:val="22"/>
        </w:rPr>
        <w:t>Lafortune</w:t>
      </w:r>
      <w:proofErr w:type="spellEnd"/>
      <w:r w:rsidRPr="004D722E">
        <w:rPr>
          <w:sz w:val="22"/>
          <w:szCs w:val="22"/>
        </w:rPr>
        <w:t xml:space="preserve"> et al., 2018) and Chinese import competition decrease</w:t>
      </w:r>
      <w:r w:rsidR="001F54C1">
        <w:rPr>
          <w:sz w:val="22"/>
          <w:szCs w:val="22"/>
        </w:rPr>
        <w:t>d</w:t>
      </w:r>
      <w:r w:rsidRPr="004D722E">
        <w:rPr>
          <w:sz w:val="22"/>
          <w:szCs w:val="22"/>
        </w:rPr>
        <w:t xml:space="preserve"> school spending, then this may provide an explanation for Autor’s puzzle: While Chinese import competition increases the returns to college, it may also simultaneously decrease the ability of K-12 school districts to prepare students for college.</w:t>
      </w:r>
    </w:p>
    <w:p w14:paraId="2DE0EB71" w14:textId="6B3A5839" w:rsidR="00A20361" w:rsidRDefault="00A20361" w:rsidP="00A20361">
      <w:pPr>
        <w:spacing w:line="360" w:lineRule="auto"/>
        <w:jc w:val="both"/>
        <w:rPr>
          <w:sz w:val="22"/>
          <w:szCs w:val="22"/>
        </w:rPr>
      </w:pPr>
      <w:r>
        <w:rPr>
          <w:sz w:val="22"/>
          <w:szCs w:val="22"/>
        </w:rPr>
        <w:t xml:space="preserve">             Although recent </w:t>
      </w:r>
      <w:r w:rsidR="00862C6C">
        <w:rPr>
          <w:sz w:val="22"/>
          <w:szCs w:val="22"/>
        </w:rPr>
        <w:t>evid</w:t>
      </w:r>
      <w:r w:rsidR="00E36DCE">
        <w:rPr>
          <w:sz w:val="22"/>
          <w:szCs w:val="22"/>
        </w:rPr>
        <w:t>e</w:t>
      </w:r>
      <w:r w:rsidR="00862C6C">
        <w:rPr>
          <w:sz w:val="22"/>
          <w:szCs w:val="22"/>
        </w:rPr>
        <w:t>nce suggests that the</w:t>
      </w:r>
      <w:r>
        <w:rPr>
          <w:sz w:val="22"/>
          <w:szCs w:val="22"/>
        </w:rPr>
        <w:t xml:space="preserve"> negative impact of Chinese imports disappears after 2007</w:t>
      </w:r>
      <w:r w:rsidR="00862C6C">
        <w:rPr>
          <w:sz w:val="22"/>
          <w:szCs w:val="22"/>
        </w:rPr>
        <w:t xml:space="preserve"> </w:t>
      </w:r>
      <w:r>
        <w:rPr>
          <w:sz w:val="22"/>
          <w:szCs w:val="22"/>
        </w:rPr>
        <w:t>(Bloom et al., 2019), US industries are still facing potential challenges from countries all over the world.</w:t>
      </w:r>
      <w:r w:rsidR="00E917BC">
        <w:rPr>
          <w:sz w:val="22"/>
          <w:szCs w:val="22"/>
        </w:rPr>
        <w:t xml:space="preserve"> </w:t>
      </w:r>
      <w:r w:rsidR="001F54C1">
        <w:rPr>
          <w:sz w:val="22"/>
          <w:szCs w:val="22"/>
        </w:rPr>
        <w:t xml:space="preserve">In addition, </w:t>
      </w:r>
      <w:r w:rsidR="00E917BC">
        <w:rPr>
          <w:sz w:val="22"/>
          <w:szCs w:val="22"/>
        </w:rPr>
        <w:t xml:space="preserve">technological change </w:t>
      </w:r>
      <w:r w:rsidR="001F54C1">
        <w:rPr>
          <w:sz w:val="22"/>
          <w:szCs w:val="22"/>
        </w:rPr>
        <w:t>may also result in job losses for those with low skill levels</w:t>
      </w:r>
      <w:r w:rsidR="00E917BC">
        <w:rPr>
          <w:sz w:val="22"/>
          <w:szCs w:val="22"/>
        </w:rPr>
        <w:t xml:space="preserve">. </w:t>
      </w:r>
      <w:r>
        <w:rPr>
          <w:sz w:val="22"/>
          <w:szCs w:val="22"/>
        </w:rPr>
        <w:t xml:space="preserve">Given the importance of education, the finding of this paper suggests the US government need a more stable </w:t>
      </w:r>
      <w:r w:rsidR="00E917BC">
        <w:rPr>
          <w:sz w:val="22"/>
          <w:szCs w:val="22"/>
        </w:rPr>
        <w:t>public-school</w:t>
      </w:r>
      <w:r>
        <w:rPr>
          <w:sz w:val="22"/>
          <w:szCs w:val="22"/>
        </w:rPr>
        <w:t xml:space="preserve"> financing system to </w:t>
      </w:r>
      <w:r w:rsidR="001F54C1">
        <w:rPr>
          <w:sz w:val="22"/>
          <w:szCs w:val="22"/>
        </w:rPr>
        <w:t xml:space="preserve">combat these </w:t>
      </w:r>
      <w:r>
        <w:rPr>
          <w:sz w:val="22"/>
          <w:szCs w:val="22"/>
        </w:rPr>
        <w:t xml:space="preserve">potential </w:t>
      </w:r>
      <w:r w:rsidR="001F54C1">
        <w:rPr>
          <w:sz w:val="22"/>
          <w:szCs w:val="22"/>
        </w:rPr>
        <w:t xml:space="preserve">future </w:t>
      </w:r>
      <w:r>
        <w:rPr>
          <w:sz w:val="22"/>
          <w:szCs w:val="22"/>
        </w:rPr>
        <w:t>shocks.</w:t>
      </w:r>
    </w:p>
    <w:p w14:paraId="28B517DB" w14:textId="77777777" w:rsidR="00A20361" w:rsidRDefault="00A20361" w:rsidP="00A20361">
      <w:pPr>
        <w:rPr>
          <w:sz w:val="22"/>
          <w:szCs w:val="22"/>
        </w:rPr>
      </w:pPr>
      <w:r>
        <w:rPr>
          <w:sz w:val="22"/>
          <w:szCs w:val="22"/>
        </w:rPr>
        <w:br w:type="page"/>
      </w:r>
    </w:p>
    <w:p w14:paraId="4661032D" w14:textId="77777777" w:rsidR="00A20361" w:rsidRPr="00592D21" w:rsidRDefault="00A20361" w:rsidP="006B1EDF">
      <w:pPr>
        <w:spacing w:after="100" w:line="340" w:lineRule="atLeast"/>
        <w:jc w:val="both"/>
        <w:rPr>
          <w:rFonts w:ascii="Times" w:hAnsi="Times" w:cs="Times"/>
          <w:b/>
          <w:color w:val="000000"/>
        </w:rPr>
      </w:pPr>
      <w:r w:rsidRPr="00592D21">
        <w:rPr>
          <w:rFonts w:ascii="Times" w:hAnsi="Times" w:cs="Times"/>
          <w:b/>
          <w:color w:val="000000"/>
        </w:rPr>
        <w:lastRenderedPageBreak/>
        <w:t xml:space="preserve">References </w:t>
      </w:r>
    </w:p>
    <w:p w14:paraId="12C3AE4A" w14:textId="77777777" w:rsidR="00A20361" w:rsidRPr="004C20DD" w:rsidRDefault="00A20361" w:rsidP="00A20361">
      <w:pPr>
        <w:pStyle w:val="NormalWeb"/>
        <w:spacing w:line="360" w:lineRule="auto"/>
        <w:rPr>
          <w:sz w:val="22"/>
          <w:szCs w:val="22"/>
        </w:rPr>
      </w:pPr>
      <w:r w:rsidRPr="004E6953">
        <w:rPr>
          <w:color w:val="000000"/>
          <w:sz w:val="22"/>
          <w:szCs w:val="22"/>
        </w:rPr>
        <w:t xml:space="preserve">Acemoglu, D., Autor, D. H., Dorn, D., Hanson, G. H., </w:t>
      </w:r>
      <w:r w:rsidRPr="004E6953">
        <w:rPr>
          <w:sz w:val="22"/>
          <w:szCs w:val="22"/>
        </w:rPr>
        <w:t xml:space="preserve">&amp; </w:t>
      </w:r>
      <w:r w:rsidRPr="004E6953">
        <w:rPr>
          <w:color w:val="000000"/>
          <w:sz w:val="22"/>
          <w:szCs w:val="22"/>
        </w:rPr>
        <w:t xml:space="preserve">Price, B. </w:t>
      </w:r>
      <w:r w:rsidRPr="004E6953">
        <w:rPr>
          <w:rFonts w:ascii="font000000001cca88a7" w:hAnsi="font000000001cca88a7"/>
          <w:sz w:val="22"/>
          <w:szCs w:val="22"/>
        </w:rPr>
        <w:t>Import Competition and the Great US Employment Sag of the 2000s</w:t>
      </w:r>
      <w:r w:rsidRPr="004C20DD">
        <w:rPr>
          <w:sz w:val="22"/>
          <w:szCs w:val="22"/>
        </w:rPr>
        <w:t xml:space="preserve">. </w:t>
      </w:r>
      <w:r w:rsidRPr="00E0765B">
        <w:rPr>
          <w:i/>
          <w:color w:val="000000"/>
          <w:sz w:val="22"/>
          <w:szCs w:val="22"/>
        </w:rPr>
        <w:t>Journal of Labo</w:t>
      </w:r>
      <w:r w:rsidRPr="004E6953">
        <w:rPr>
          <w:i/>
          <w:color w:val="000000"/>
          <w:sz w:val="22"/>
          <w:szCs w:val="22"/>
        </w:rPr>
        <w:t>r Economics</w:t>
      </w:r>
      <w:r w:rsidRPr="004E6953">
        <w:rPr>
          <w:color w:val="000000"/>
          <w:sz w:val="22"/>
          <w:szCs w:val="22"/>
        </w:rPr>
        <w:t xml:space="preserve">, 34(S1): S141-S198 </w:t>
      </w:r>
    </w:p>
    <w:p w14:paraId="780217A8" w14:textId="77777777" w:rsidR="00A20361" w:rsidRPr="004E6953" w:rsidRDefault="00A20361" w:rsidP="00A20361">
      <w:pPr>
        <w:widowControl w:val="0"/>
        <w:autoSpaceDE w:val="0"/>
        <w:autoSpaceDN w:val="0"/>
        <w:adjustRightInd w:val="0"/>
        <w:spacing w:after="240" w:line="360" w:lineRule="auto"/>
        <w:rPr>
          <w:i/>
          <w:sz w:val="22"/>
          <w:szCs w:val="22"/>
        </w:rPr>
      </w:pPr>
      <w:r w:rsidRPr="00E0765B">
        <w:rPr>
          <w:color w:val="000000"/>
          <w:sz w:val="22"/>
          <w:szCs w:val="22"/>
        </w:rPr>
        <w:t xml:space="preserve">Autor, D. H. </w:t>
      </w:r>
      <w:r w:rsidRPr="004E6953">
        <w:rPr>
          <w:color w:val="000000"/>
          <w:sz w:val="22"/>
          <w:szCs w:val="22"/>
        </w:rPr>
        <w:t xml:space="preserve">(2010). The Polarization of Job Opportunities in the U.S. Labor Market. </w:t>
      </w:r>
      <w:r w:rsidRPr="004E6953">
        <w:rPr>
          <w:i/>
          <w:color w:val="000000"/>
          <w:sz w:val="22"/>
          <w:szCs w:val="22"/>
        </w:rPr>
        <w:t>The Hamilton Project.</w:t>
      </w:r>
    </w:p>
    <w:p w14:paraId="035292E1" w14:textId="77777777" w:rsidR="00A20361" w:rsidRPr="004E6953" w:rsidRDefault="00A20361" w:rsidP="00A20361">
      <w:pPr>
        <w:widowControl w:val="0"/>
        <w:autoSpaceDE w:val="0"/>
        <w:autoSpaceDN w:val="0"/>
        <w:adjustRightInd w:val="0"/>
        <w:spacing w:after="240" w:line="360" w:lineRule="auto"/>
        <w:rPr>
          <w:sz w:val="22"/>
          <w:szCs w:val="22"/>
        </w:rPr>
      </w:pPr>
      <w:r w:rsidRPr="004E6953">
        <w:rPr>
          <w:sz w:val="22"/>
          <w:szCs w:val="22"/>
        </w:rPr>
        <w:t xml:space="preserve">Autor, D. H., &amp; Dorn, D. (2013). The Growth of Low Skill Service Jobs and the Polarization of the US Labor Market. </w:t>
      </w:r>
      <w:r w:rsidRPr="004E6953">
        <w:rPr>
          <w:i/>
          <w:sz w:val="22"/>
          <w:szCs w:val="22"/>
        </w:rPr>
        <w:t>American Economic Review</w:t>
      </w:r>
      <w:r w:rsidRPr="004E6953">
        <w:rPr>
          <w:sz w:val="22"/>
          <w:szCs w:val="22"/>
        </w:rPr>
        <w:t xml:space="preserve"> 103 (5): 1553–97. </w:t>
      </w:r>
    </w:p>
    <w:p w14:paraId="11D9652F" w14:textId="77777777" w:rsidR="00A20361" w:rsidRPr="004E6953" w:rsidRDefault="00A20361" w:rsidP="00A20361">
      <w:pPr>
        <w:widowControl w:val="0"/>
        <w:autoSpaceDE w:val="0"/>
        <w:autoSpaceDN w:val="0"/>
        <w:adjustRightInd w:val="0"/>
        <w:spacing w:after="240" w:line="360" w:lineRule="auto"/>
        <w:rPr>
          <w:sz w:val="22"/>
          <w:szCs w:val="22"/>
        </w:rPr>
      </w:pPr>
      <w:r w:rsidRPr="004E6953">
        <w:rPr>
          <w:sz w:val="22"/>
          <w:szCs w:val="22"/>
        </w:rPr>
        <w:t xml:space="preserve">Autor, D. H., Dorn, D., &amp; Hanson, G. H.  (2013). The China Syndrome: Local Labor Market Effects of Import Competition in the United States: Dataset. </w:t>
      </w:r>
      <w:r w:rsidRPr="004E6953">
        <w:rPr>
          <w:i/>
          <w:sz w:val="22"/>
          <w:szCs w:val="22"/>
        </w:rPr>
        <w:t>American Economic Review</w:t>
      </w:r>
      <w:r w:rsidRPr="004E6953">
        <w:rPr>
          <w:sz w:val="22"/>
          <w:szCs w:val="22"/>
        </w:rPr>
        <w:t>. 103(6): 2121-68.</w:t>
      </w:r>
    </w:p>
    <w:p w14:paraId="5C0B6C54"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color w:val="000000"/>
          <w:sz w:val="22"/>
          <w:szCs w:val="22"/>
        </w:rPr>
        <w:t xml:space="preserve">Baily, M. N. </w:t>
      </w:r>
      <w:r w:rsidRPr="004E6953">
        <w:rPr>
          <w:sz w:val="22"/>
          <w:szCs w:val="22"/>
        </w:rPr>
        <w:t>&amp;</w:t>
      </w:r>
      <w:r w:rsidRPr="004E6953">
        <w:rPr>
          <w:color w:val="000000"/>
          <w:sz w:val="22"/>
          <w:szCs w:val="22"/>
        </w:rPr>
        <w:t xml:space="preserve"> Bosworth B. P. (2014). US Manufacturing: Understanding Its Past and Its Potential Future. </w:t>
      </w:r>
      <w:r w:rsidRPr="004E6953">
        <w:rPr>
          <w:i/>
          <w:color w:val="000000"/>
          <w:sz w:val="22"/>
          <w:szCs w:val="22"/>
        </w:rPr>
        <w:t>Journal of Economic Perspectives</w:t>
      </w:r>
      <w:r w:rsidRPr="004E6953">
        <w:rPr>
          <w:color w:val="000000"/>
          <w:sz w:val="22"/>
          <w:szCs w:val="22"/>
        </w:rPr>
        <w:t>, 28(1), 3-26.</w:t>
      </w:r>
    </w:p>
    <w:p w14:paraId="3D47C275"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Baker, B. D., &amp; Green, P. C. (2015). Conceptions of Equity and Adequacy in School Finance. In H.F. Ladd and M.E. Goertz, eds., </w:t>
      </w:r>
      <w:r w:rsidRPr="004E6953">
        <w:rPr>
          <w:i/>
          <w:sz w:val="22"/>
          <w:szCs w:val="22"/>
        </w:rPr>
        <w:t>Handbook of Research in Education Finance and Policy</w:t>
      </w:r>
      <w:r w:rsidRPr="004E6953">
        <w:rPr>
          <w:sz w:val="22"/>
          <w:szCs w:val="22"/>
        </w:rPr>
        <w:t xml:space="preserve">, 2nd edition. New York, NY: Routledge. </w:t>
      </w:r>
    </w:p>
    <w:p w14:paraId="04FBEA95"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Barrow, L., &amp; </w:t>
      </w:r>
      <w:proofErr w:type="spellStart"/>
      <w:r w:rsidRPr="004E6953">
        <w:rPr>
          <w:sz w:val="22"/>
          <w:szCs w:val="22"/>
        </w:rPr>
        <w:t>Schanzenbach</w:t>
      </w:r>
      <w:proofErr w:type="spellEnd"/>
      <w:r w:rsidRPr="004E6953">
        <w:rPr>
          <w:sz w:val="22"/>
          <w:szCs w:val="22"/>
        </w:rPr>
        <w:t xml:space="preserve">, D. W. (2012). Education and the Poor. In P. Jefferson, ed., </w:t>
      </w:r>
      <w:r w:rsidRPr="004E6953">
        <w:rPr>
          <w:i/>
          <w:sz w:val="22"/>
          <w:szCs w:val="22"/>
        </w:rPr>
        <w:t>The Oxford</w:t>
      </w:r>
      <w:r w:rsidRPr="004E6953">
        <w:rPr>
          <w:sz w:val="22"/>
          <w:szCs w:val="22"/>
        </w:rPr>
        <w:t xml:space="preserve"> </w:t>
      </w:r>
      <w:r w:rsidRPr="004E6953">
        <w:rPr>
          <w:i/>
          <w:sz w:val="22"/>
          <w:szCs w:val="22"/>
        </w:rPr>
        <w:t>Handbook of the Economics of Poverty</w:t>
      </w:r>
      <w:r w:rsidRPr="004E6953">
        <w:rPr>
          <w:sz w:val="22"/>
          <w:szCs w:val="22"/>
        </w:rPr>
        <w:t xml:space="preserve">, 316-343. Oxford: Oxford University Press. </w:t>
      </w:r>
    </w:p>
    <w:p w14:paraId="4F631511" w14:textId="77777777" w:rsidR="00A20361" w:rsidRPr="004E6953" w:rsidRDefault="00A20361" w:rsidP="00A20361">
      <w:pPr>
        <w:widowControl w:val="0"/>
        <w:autoSpaceDE w:val="0"/>
        <w:autoSpaceDN w:val="0"/>
        <w:adjustRightInd w:val="0"/>
        <w:spacing w:after="240" w:line="360" w:lineRule="auto"/>
        <w:jc w:val="both"/>
        <w:rPr>
          <w:i/>
          <w:color w:val="000000"/>
          <w:sz w:val="22"/>
          <w:szCs w:val="22"/>
        </w:rPr>
      </w:pPr>
      <w:proofErr w:type="spellStart"/>
      <w:r w:rsidRPr="004E6953">
        <w:rPr>
          <w:color w:val="000000"/>
          <w:sz w:val="22"/>
          <w:szCs w:val="22"/>
        </w:rPr>
        <w:t>Bartik</w:t>
      </w:r>
      <w:proofErr w:type="spellEnd"/>
      <w:r w:rsidRPr="004E6953">
        <w:rPr>
          <w:color w:val="000000"/>
          <w:sz w:val="22"/>
          <w:szCs w:val="22"/>
        </w:rPr>
        <w:t xml:space="preserve">, T. J. (1991). "Who Benefits from State and Local Development Policies?" </w:t>
      </w:r>
      <w:r w:rsidRPr="004E6953">
        <w:rPr>
          <w:i/>
          <w:color w:val="000000"/>
          <w:sz w:val="22"/>
          <w:szCs w:val="22"/>
        </w:rPr>
        <w:t>Kalamazoo, MI: W.E. Upjohn Institute.</w:t>
      </w:r>
    </w:p>
    <w:p w14:paraId="272C1D32"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Brunner, E. J., Hyman, J., &amp; Ju, A. (2017). School Finance Reforms, Teachers’ Unions, and the Allocation of School Resources. Unpublished Manuscript. </w:t>
      </w:r>
    </w:p>
    <w:p w14:paraId="6268CFD8" w14:textId="77777777" w:rsidR="00A20361" w:rsidRPr="004E6953" w:rsidRDefault="00A20361" w:rsidP="00A20361">
      <w:pPr>
        <w:widowControl w:val="0"/>
        <w:autoSpaceDE w:val="0"/>
        <w:autoSpaceDN w:val="0"/>
        <w:adjustRightInd w:val="0"/>
        <w:spacing w:after="240" w:line="360" w:lineRule="auto"/>
        <w:jc w:val="both"/>
        <w:rPr>
          <w:sz w:val="22"/>
          <w:szCs w:val="22"/>
        </w:rPr>
      </w:pPr>
      <w:proofErr w:type="spellStart"/>
      <w:r w:rsidRPr="004E6953">
        <w:rPr>
          <w:sz w:val="22"/>
          <w:szCs w:val="22"/>
        </w:rPr>
        <w:t>Burtless</w:t>
      </w:r>
      <w:proofErr w:type="spellEnd"/>
      <w:r w:rsidRPr="004E6953">
        <w:rPr>
          <w:sz w:val="22"/>
          <w:szCs w:val="22"/>
        </w:rPr>
        <w:t xml:space="preserve">, G. (1996). Does Money Matter? The Effect of School Resources on Student Achievement and Adult Success. </w:t>
      </w:r>
      <w:r w:rsidRPr="004E6953">
        <w:rPr>
          <w:i/>
          <w:sz w:val="22"/>
          <w:szCs w:val="22"/>
        </w:rPr>
        <w:t>Washington, D.C.: Brookings Institution Press</w:t>
      </w:r>
      <w:r w:rsidRPr="004E6953">
        <w:rPr>
          <w:sz w:val="22"/>
          <w:szCs w:val="22"/>
        </w:rPr>
        <w:t xml:space="preserve">. </w:t>
      </w:r>
    </w:p>
    <w:p w14:paraId="69FA72A6"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Card, D., &amp; Krueger, A. B. (1992a). Does School Quality Matter? Returns to Education and the Characteristics of Public Schools in the United States. </w:t>
      </w:r>
      <w:r w:rsidRPr="004E6953">
        <w:rPr>
          <w:i/>
          <w:sz w:val="22"/>
          <w:szCs w:val="22"/>
        </w:rPr>
        <w:t>Journal of Political Economy,</w:t>
      </w:r>
      <w:r w:rsidRPr="004E6953">
        <w:rPr>
          <w:sz w:val="22"/>
          <w:szCs w:val="22"/>
        </w:rPr>
        <w:t xml:space="preserve"> 100(1), 1–40. </w:t>
      </w:r>
    </w:p>
    <w:p w14:paraId="480D3AB2"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Card, D., &amp; Krueger, A.B. (1992b). School quality and black-white relative earnings: A direct assessment. </w:t>
      </w:r>
      <w:r w:rsidRPr="004E6953">
        <w:rPr>
          <w:i/>
          <w:sz w:val="22"/>
          <w:szCs w:val="22"/>
        </w:rPr>
        <w:t>Quarterly Journal of Economics</w:t>
      </w:r>
      <w:r w:rsidRPr="004E6953">
        <w:rPr>
          <w:sz w:val="22"/>
          <w:szCs w:val="22"/>
        </w:rPr>
        <w:t xml:space="preserve">, 107(1), 151-200. </w:t>
      </w:r>
    </w:p>
    <w:p w14:paraId="3E91AA30"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lastRenderedPageBreak/>
        <w:t>Card, D., &amp; Payne, A.A. (2002). School finance reform, the distribution of school spending, and the distribution of student test scores</w:t>
      </w:r>
      <w:r w:rsidRPr="004E6953">
        <w:rPr>
          <w:i/>
          <w:sz w:val="22"/>
          <w:szCs w:val="22"/>
        </w:rPr>
        <w:t>. Journal of Public Economics</w:t>
      </w:r>
      <w:r w:rsidRPr="004E6953">
        <w:rPr>
          <w:sz w:val="22"/>
          <w:szCs w:val="22"/>
        </w:rPr>
        <w:t xml:space="preserve">, 83(1), 49-82. </w:t>
      </w:r>
    </w:p>
    <w:p w14:paraId="753AC003"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color w:val="000000"/>
          <w:sz w:val="22"/>
          <w:szCs w:val="22"/>
        </w:rPr>
        <w:t xml:space="preserve">Charles, K.K., Hurst E. and </w:t>
      </w:r>
      <w:proofErr w:type="spellStart"/>
      <w:r w:rsidRPr="004E6953">
        <w:rPr>
          <w:color w:val="000000"/>
          <w:sz w:val="22"/>
          <w:szCs w:val="22"/>
        </w:rPr>
        <w:t>Notowidigdo</w:t>
      </w:r>
      <w:proofErr w:type="spellEnd"/>
      <w:r w:rsidRPr="004E6953">
        <w:rPr>
          <w:color w:val="000000"/>
          <w:sz w:val="22"/>
          <w:szCs w:val="22"/>
        </w:rPr>
        <w:t xml:space="preserve"> M.J. (2013). Manufacturing Decline, Housing Booms, and Non-Employment. </w:t>
      </w:r>
      <w:r w:rsidRPr="004E6953">
        <w:rPr>
          <w:i/>
          <w:color w:val="000000"/>
          <w:sz w:val="22"/>
          <w:szCs w:val="22"/>
        </w:rPr>
        <w:t>NBER Working Paper No. 18949</w:t>
      </w:r>
      <w:r w:rsidRPr="004E6953">
        <w:rPr>
          <w:color w:val="000000"/>
          <w:sz w:val="22"/>
          <w:szCs w:val="22"/>
        </w:rPr>
        <w:t>, National Bureau of Economic Research.</w:t>
      </w:r>
    </w:p>
    <w:p w14:paraId="69E5255A" w14:textId="77777777" w:rsidR="00A20361" w:rsidRPr="004E6953" w:rsidRDefault="00A20361" w:rsidP="00A20361">
      <w:pPr>
        <w:widowControl w:val="0"/>
        <w:autoSpaceDE w:val="0"/>
        <w:autoSpaceDN w:val="0"/>
        <w:adjustRightInd w:val="0"/>
        <w:spacing w:after="100" w:line="360" w:lineRule="auto"/>
        <w:jc w:val="both"/>
        <w:rPr>
          <w:sz w:val="22"/>
          <w:szCs w:val="22"/>
        </w:rPr>
      </w:pPr>
      <w:r w:rsidRPr="004E6953">
        <w:rPr>
          <w:sz w:val="22"/>
          <w:szCs w:val="22"/>
        </w:rPr>
        <w:t xml:space="preserve">Corcoran, S. P., &amp; Evans, W. N. (2015). Equity, Adequacy, and the Evolving State Role in Education Finance. In H.F. Ladd and M.E. Goertz, eds., </w:t>
      </w:r>
      <w:r w:rsidRPr="004E6953">
        <w:rPr>
          <w:i/>
          <w:sz w:val="22"/>
          <w:szCs w:val="22"/>
        </w:rPr>
        <w:t>Handbook of Research in Education Finance and Policy</w:t>
      </w:r>
      <w:r w:rsidRPr="004E6953">
        <w:rPr>
          <w:sz w:val="22"/>
          <w:szCs w:val="22"/>
        </w:rPr>
        <w:t xml:space="preserve">, 2nd edition. New York, NY: Routledge. </w:t>
      </w:r>
    </w:p>
    <w:p w14:paraId="16D6EE0D" w14:textId="77777777" w:rsidR="00A20361" w:rsidRPr="004E6953" w:rsidRDefault="00A20361" w:rsidP="00A20361">
      <w:pPr>
        <w:spacing w:after="100" w:line="360" w:lineRule="auto"/>
        <w:rPr>
          <w:sz w:val="22"/>
          <w:szCs w:val="22"/>
        </w:rPr>
      </w:pPr>
      <w:proofErr w:type="spellStart"/>
      <w:r w:rsidRPr="004E6953">
        <w:rPr>
          <w:sz w:val="22"/>
          <w:szCs w:val="22"/>
        </w:rPr>
        <w:t>Glaeser</w:t>
      </w:r>
      <w:proofErr w:type="spellEnd"/>
      <w:r w:rsidRPr="004E6953">
        <w:rPr>
          <w:sz w:val="22"/>
          <w:szCs w:val="22"/>
        </w:rPr>
        <w:t xml:space="preserve">, E. L. &amp; </w:t>
      </w:r>
      <w:proofErr w:type="spellStart"/>
      <w:r w:rsidRPr="004E6953">
        <w:rPr>
          <w:sz w:val="22"/>
          <w:szCs w:val="22"/>
        </w:rPr>
        <w:t>Gyourko</w:t>
      </w:r>
      <w:proofErr w:type="spellEnd"/>
      <w:r w:rsidRPr="004E6953">
        <w:rPr>
          <w:sz w:val="22"/>
          <w:szCs w:val="22"/>
        </w:rPr>
        <w:t xml:space="preserve">, J. (2005). Urban Decline and Durable Housing. </w:t>
      </w:r>
      <w:r w:rsidRPr="004E6953">
        <w:rPr>
          <w:i/>
          <w:sz w:val="22"/>
          <w:szCs w:val="22"/>
        </w:rPr>
        <w:t>Journal of Political Economy,</w:t>
      </w:r>
      <w:r w:rsidRPr="004E6953">
        <w:rPr>
          <w:sz w:val="22"/>
          <w:szCs w:val="22"/>
        </w:rPr>
        <w:t xml:space="preserve"> 113(2): 345-375.</w:t>
      </w:r>
      <w:r w:rsidRPr="004E6953">
        <w:rPr>
          <w:rFonts w:ascii="Helvetica" w:hAnsi="Helvetica"/>
          <w:color w:val="333333"/>
          <w:sz w:val="22"/>
          <w:szCs w:val="22"/>
          <w:shd w:val="clear" w:color="auto" w:fill="FFFFFF"/>
        </w:rPr>
        <w:t xml:space="preserve"> </w:t>
      </w:r>
    </w:p>
    <w:p w14:paraId="4E7721F8" w14:textId="77777777" w:rsidR="00A20361" w:rsidRPr="004C20DD" w:rsidRDefault="00A20361" w:rsidP="00A20361">
      <w:pPr>
        <w:spacing w:after="100" w:line="360" w:lineRule="auto"/>
        <w:rPr>
          <w:sz w:val="22"/>
          <w:szCs w:val="22"/>
        </w:rPr>
      </w:pPr>
      <w:r w:rsidRPr="004E6953">
        <w:rPr>
          <w:sz w:val="22"/>
          <w:szCs w:val="22"/>
        </w:rPr>
        <w:t xml:space="preserve">Goldin, C. &amp; Katz, L. F. (2007). The Race between Education and Technology: The Evolution of U.S. Educational Wage Differentials, 1890 to 2005. </w:t>
      </w:r>
      <w:r w:rsidRPr="004E6953">
        <w:rPr>
          <w:i/>
          <w:sz w:val="22"/>
          <w:szCs w:val="22"/>
        </w:rPr>
        <w:t>NBER Working Paper No. 12984.</w:t>
      </w:r>
    </w:p>
    <w:p w14:paraId="4B5EF83E"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E0765B">
        <w:rPr>
          <w:sz w:val="22"/>
          <w:szCs w:val="22"/>
        </w:rPr>
        <w:t>Hanushek, E.A. (2003). The failure of input-based schooling polic</w:t>
      </w:r>
      <w:r w:rsidRPr="004E6953">
        <w:rPr>
          <w:sz w:val="22"/>
          <w:szCs w:val="22"/>
        </w:rPr>
        <w:t xml:space="preserve">ies. </w:t>
      </w:r>
      <w:r w:rsidRPr="004E6953">
        <w:rPr>
          <w:i/>
          <w:sz w:val="22"/>
          <w:szCs w:val="22"/>
        </w:rPr>
        <w:t>The Economic Journal</w:t>
      </w:r>
      <w:r w:rsidRPr="004E6953">
        <w:rPr>
          <w:sz w:val="22"/>
          <w:szCs w:val="22"/>
        </w:rPr>
        <w:t xml:space="preserve">, 113, F64-F98. </w:t>
      </w:r>
    </w:p>
    <w:p w14:paraId="15663180"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Hanushek, E.A. (2006). School resources. In Hanushek, E.A. and F. Welch, eds., </w:t>
      </w:r>
      <w:r w:rsidRPr="004E6953">
        <w:rPr>
          <w:i/>
          <w:sz w:val="22"/>
          <w:szCs w:val="22"/>
        </w:rPr>
        <w:t>Handbook of the Economics of Education</w:t>
      </w:r>
      <w:r w:rsidRPr="004E6953">
        <w:rPr>
          <w:sz w:val="22"/>
          <w:szCs w:val="22"/>
        </w:rPr>
        <w:t xml:space="preserve">, vol. 2. The Netherlands: North Holland. </w:t>
      </w:r>
    </w:p>
    <w:p w14:paraId="0C85C036"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Hanushek, E. A., Rivkin, S. G., &amp; Taylor, L. L. (1996). Aggregation and the estimated effects of school resources. The Review of Economics and Statistics 78(4), 611- 627. </w:t>
      </w:r>
    </w:p>
    <w:p w14:paraId="022BA0C0" w14:textId="77777777" w:rsidR="00A20361" w:rsidRPr="004E6953" w:rsidRDefault="00A20361" w:rsidP="00A20361">
      <w:pPr>
        <w:widowControl w:val="0"/>
        <w:autoSpaceDE w:val="0"/>
        <w:autoSpaceDN w:val="0"/>
        <w:adjustRightInd w:val="0"/>
        <w:spacing w:after="240" w:line="360" w:lineRule="auto"/>
        <w:jc w:val="both"/>
        <w:rPr>
          <w:sz w:val="22"/>
          <w:szCs w:val="22"/>
        </w:rPr>
      </w:pPr>
      <w:proofErr w:type="spellStart"/>
      <w:r w:rsidRPr="004E6953">
        <w:rPr>
          <w:sz w:val="22"/>
          <w:szCs w:val="22"/>
        </w:rPr>
        <w:t>Hoxby</w:t>
      </w:r>
      <w:proofErr w:type="spellEnd"/>
      <w:r w:rsidRPr="004E6953">
        <w:rPr>
          <w:sz w:val="22"/>
          <w:szCs w:val="22"/>
        </w:rPr>
        <w:t xml:space="preserve">, C. M. (2001). All school finance equalizations are not created equal. </w:t>
      </w:r>
      <w:r w:rsidRPr="004E6953">
        <w:rPr>
          <w:i/>
          <w:sz w:val="22"/>
          <w:szCs w:val="22"/>
        </w:rPr>
        <w:t>The Quarterly Journal of Economics</w:t>
      </w:r>
      <w:r w:rsidRPr="004E6953">
        <w:rPr>
          <w:sz w:val="22"/>
          <w:szCs w:val="22"/>
        </w:rPr>
        <w:t xml:space="preserve">, 116(4), 1189-1231. </w:t>
      </w:r>
    </w:p>
    <w:p w14:paraId="5EC2A404" w14:textId="77777777" w:rsidR="00A20361" w:rsidRPr="004C20DD" w:rsidRDefault="00A20361" w:rsidP="00A20361">
      <w:pPr>
        <w:widowControl w:val="0"/>
        <w:autoSpaceDE w:val="0"/>
        <w:autoSpaceDN w:val="0"/>
        <w:adjustRightInd w:val="0"/>
        <w:spacing w:after="240" w:line="360" w:lineRule="auto"/>
        <w:rPr>
          <w:rFonts w:ascii="Times" w:hAnsi="Times" w:cs="Times"/>
          <w:color w:val="000000"/>
          <w:sz w:val="22"/>
          <w:szCs w:val="22"/>
        </w:rPr>
      </w:pPr>
      <w:r w:rsidRPr="004E6953">
        <w:rPr>
          <w:sz w:val="22"/>
          <w:szCs w:val="22"/>
        </w:rPr>
        <w:t xml:space="preserve">Hyman, J. (2017). Does Money Matter in the Long Run? Effects of School Spending on Educational Attainment. </w:t>
      </w:r>
      <w:r w:rsidRPr="004E6953">
        <w:rPr>
          <w:i/>
          <w:sz w:val="22"/>
          <w:szCs w:val="22"/>
        </w:rPr>
        <w:t>American Economic Journal: Economic Policy</w:t>
      </w:r>
      <w:r w:rsidRPr="004E6953">
        <w:rPr>
          <w:sz w:val="22"/>
          <w:szCs w:val="22"/>
        </w:rPr>
        <w:t>, 9(4), 256-80.</w:t>
      </w:r>
    </w:p>
    <w:p w14:paraId="6C1B051F"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E0765B">
        <w:rPr>
          <w:sz w:val="22"/>
          <w:szCs w:val="22"/>
        </w:rPr>
        <w:t>Jackson, C.K., Johnson, R.C., &amp;</w:t>
      </w:r>
      <w:r w:rsidRPr="004E6953">
        <w:rPr>
          <w:sz w:val="22"/>
          <w:szCs w:val="22"/>
        </w:rPr>
        <w:t xml:space="preserve"> Persico, C. (2016). The effects of school spending on educational and economic outcomes: Evidence from school finance reforms. </w:t>
      </w:r>
      <w:r w:rsidRPr="004E6953">
        <w:rPr>
          <w:i/>
          <w:sz w:val="22"/>
          <w:szCs w:val="22"/>
        </w:rPr>
        <w:t>Quarterly Journal of Economics</w:t>
      </w:r>
      <w:r w:rsidRPr="004E6953">
        <w:rPr>
          <w:sz w:val="22"/>
          <w:szCs w:val="22"/>
        </w:rPr>
        <w:t xml:space="preserve">, 131(1). </w:t>
      </w:r>
    </w:p>
    <w:p w14:paraId="63A054AB" w14:textId="3508B80A" w:rsidR="00A20361" w:rsidRDefault="00A20361" w:rsidP="00A20361">
      <w:pPr>
        <w:pStyle w:val="Heading1"/>
        <w:spacing w:before="0" w:beforeAutospacing="0" w:after="150" w:afterAutospacing="0" w:line="360" w:lineRule="auto"/>
        <w:jc w:val="both"/>
        <w:rPr>
          <w:sz w:val="22"/>
          <w:szCs w:val="22"/>
        </w:rPr>
      </w:pPr>
      <w:r w:rsidRPr="004E6953">
        <w:rPr>
          <w:b w:val="0"/>
          <w:bCs w:val="0"/>
          <w:kern w:val="0"/>
          <w:sz w:val="22"/>
          <w:szCs w:val="22"/>
        </w:rPr>
        <w:t>Jackson, C.K. &amp; Johnson</w:t>
      </w:r>
      <w:r w:rsidR="006E3625" w:rsidRPr="006E3625">
        <w:rPr>
          <w:b w:val="0"/>
          <w:bCs w:val="0"/>
          <w:kern w:val="0"/>
          <w:sz w:val="22"/>
          <w:szCs w:val="22"/>
        </w:rPr>
        <w:t>, R.C.</w:t>
      </w:r>
      <w:r w:rsidRPr="004E6953">
        <w:rPr>
          <w:b w:val="0"/>
          <w:bCs w:val="0"/>
          <w:kern w:val="0"/>
          <w:sz w:val="22"/>
          <w:szCs w:val="22"/>
        </w:rPr>
        <w:t xml:space="preserve"> (2017). Reducing Inequality Through Dynamic Complementarity: Evidence from Head Start and </w:t>
      </w:r>
      <w:proofErr w:type="gramStart"/>
      <w:r w:rsidRPr="004E6953">
        <w:rPr>
          <w:b w:val="0"/>
          <w:bCs w:val="0"/>
          <w:kern w:val="0"/>
          <w:sz w:val="22"/>
          <w:szCs w:val="22"/>
        </w:rPr>
        <w:t>Public School</w:t>
      </w:r>
      <w:proofErr w:type="gramEnd"/>
      <w:r w:rsidRPr="004E6953">
        <w:rPr>
          <w:b w:val="0"/>
          <w:bCs w:val="0"/>
          <w:kern w:val="0"/>
          <w:sz w:val="22"/>
          <w:szCs w:val="22"/>
        </w:rPr>
        <w:t xml:space="preserve"> Spending. </w:t>
      </w:r>
      <w:r w:rsidRPr="004E6953">
        <w:rPr>
          <w:b w:val="0"/>
          <w:bCs w:val="0"/>
          <w:i/>
          <w:kern w:val="0"/>
          <w:sz w:val="22"/>
          <w:szCs w:val="22"/>
        </w:rPr>
        <w:t>NBER Working Paper No.23489.</w:t>
      </w:r>
      <w:r w:rsidRPr="004E6953">
        <w:rPr>
          <w:sz w:val="22"/>
          <w:szCs w:val="22"/>
        </w:rPr>
        <w:t xml:space="preserve"> </w:t>
      </w:r>
    </w:p>
    <w:p w14:paraId="1E04DB54" w14:textId="4482F9D3" w:rsidR="00FE18AA" w:rsidRPr="00FE18AA" w:rsidRDefault="00FE18AA" w:rsidP="00FE18AA">
      <w:pPr>
        <w:rPr>
          <w:i/>
          <w:iCs/>
          <w:sz w:val="22"/>
          <w:szCs w:val="22"/>
        </w:rPr>
      </w:pPr>
      <w:r w:rsidRPr="00E0765B">
        <w:rPr>
          <w:sz w:val="22"/>
          <w:szCs w:val="22"/>
        </w:rPr>
        <w:t>Jackson, C.K.,</w:t>
      </w:r>
      <w:r>
        <w:rPr>
          <w:sz w:val="22"/>
          <w:szCs w:val="22"/>
        </w:rPr>
        <w:t xml:space="preserve"> </w:t>
      </w:r>
      <w:proofErr w:type="spellStart"/>
      <w:r w:rsidR="00F16D58">
        <w:rPr>
          <w:sz w:val="22"/>
          <w:szCs w:val="22"/>
        </w:rPr>
        <w:t>Wigger</w:t>
      </w:r>
      <w:proofErr w:type="spellEnd"/>
      <w:r w:rsidR="00F16D58">
        <w:rPr>
          <w:sz w:val="22"/>
          <w:szCs w:val="22"/>
        </w:rPr>
        <w:t>, C.</w:t>
      </w:r>
      <w:r w:rsidRPr="00E0765B">
        <w:rPr>
          <w:sz w:val="22"/>
          <w:szCs w:val="22"/>
        </w:rPr>
        <w:t>, &amp;</w:t>
      </w:r>
      <w:r w:rsidRPr="004E6953">
        <w:rPr>
          <w:sz w:val="22"/>
          <w:szCs w:val="22"/>
        </w:rPr>
        <w:t xml:space="preserve"> </w:t>
      </w:r>
      <w:proofErr w:type="spellStart"/>
      <w:r w:rsidR="00F16D58">
        <w:rPr>
          <w:sz w:val="22"/>
          <w:szCs w:val="22"/>
        </w:rPr>
        <w:t>Xiong</w:t>
      </w:r>
      <w:proofErr w:type="spellEnd"/>
      <w:r w:rsidRPr="004E6953">
        <w:rPr>
          <w:sz w:val="22"/>
          <w:szCs w:val="22"/>
        </w:rPr>
        <w:t xml:space="preserve">, </w:t>
      </w:r>
      <w:r w:rsidR="00F16D58">
        <w:rPr>
          <w:sz w:val="22"/>
          <w:szCs w:val="22"/>
        </w:rPr>
        <w:t>H</w:t>
      </w:r>
      <w:r w:rsidRPr="004E6953">
        <w:rPr>
          <w:sz w:val="22"/>
          <w:szCs w:val="22"/>
        </w:rPr>
        <w:t>. (201</w:t>
      </w:r>
      <w:r w:rsidR="00F16D58">
        <w:rPr>
          <w:sz w:val="22"/>
          <w:szCs w:val="22"/>
        </w:rPr>
        <w:t>8</w:t>
      </w:r>
      <w:r w:rsidRPr="004E6953">
        <w:rPr>
          <w:sz w:val="22"/>
          <w:szCs w:val="22"/>
        </w:rPr>
        <w:t xml:space="preserve">). </w:t>
      </w:r>
      <w:r w:rsidRPr="00FE18AA">
        <w:rPr>
          <w:sz w:val="22"/>
          <w:szCs w:val="22"/>
        </w:rPr>
        <w:t xml:space="preserve">Do School Spending Cuts Matter? Evidence from The Great Recession. </w:t>
      </w:r>
      <w:r w:rsidRPr="00FE18AA">
        <w:rPr>
          <w:i/>
          <w:iCs/>
          <w:sz w:val="22"/>
          <w:szCs w:val="22"/>
        </w:rPr>
        <w:t>NBER Working Paper No. 24203.</w:t>
      </w:r>
    </w:p>
    <w:p w14:paraId="2A8922DD" w14:textId="77777777" w:rsidR="00FE18AA" w:rsidRPr="004E6953" w:rsidRDefault="00FE18AA" w:rsidP="00A20361">
      <w:pPr>
        <w:pStyle w:val="Heading1"/>
        <w:spacing w:before="0" w:beforeAutospacing="0" w:after="150" w:afterAutospacing="0" w:line="360" w:lineRule="auto"/>
        <w:jc w:val="both"/>
        <w:rPr>
          <w:sz w:val="22"/>
          <w:szCs w:val="22"/>
        </w:rPr>
      </w:pPr>
    </w:p>
    <w:p w14:paraId="18DD1F3B"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lastRenderedPageBreak/>
        <w:t xml:space="preserve">Koski, W.S., &amp; </w:t>
      </w:r>
      <w:proofErr w:type="spellStart"/>
      <w:r w:rsidRPr="004E6953">
        <w:rPr>
          <w:sz w:val="22"/>
          <w:szCs w:val="22"/>
        </w:rPr>
        <w:t>Hahnel</w:t>
      </w:r>
      <w:proofErr w:type="spellEnd"/>
      <w:r w:rsidRPr="004E6953">
        <w:rPr>
          <w:sz w:val="22"/>
          <w:szCs w:val="22"/>
        </w:rPr>
        <w:t xml:space="preserve">, J. (2015). The past, present and future of educational finance reform litigation. In H.F. Ladd and M. E. Goertz, eds., Handbook of Research in Education Finance and Policy, 2nd Edition. New York, NY: Routledge. </w:t>
      </w:r>
    </w:p>
    <w:p w14:paraId="7603DE9E"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Krueger, A. B. (1999). Experimental estimates of education production functions. </w:t>
      </w:r>
      <w:r w:rsidRPr="004E6953">
        <w:rPr>
          <w:i/>
          <w:sz w:val="22"/>
          <w:szCs w:val="22"/>
        </w:rPr>
        <w:t>Quarterly Journal of Economics</w:t>
      </w:r>
      <w:r w:rsidRPr="004E6953">
        <w:rPr>
          <w:sz w:val="22"/>
          <w:szCs w:val="22"/>
        </w:rPr>
        <w:t xml:space="preserve"> 114(2), 497-532. </w:t>
      </w:r>
    </w:p>
    <w:p w14:paraId="0D80387B"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Krueger, A.B. (2003). Economic considerations and class size. </w:t>
      </w:r>
      <w:r w:rsidRPr="004E6953">
        <w:rPr>
          <w:i/>
          <w:sz w:val="22"/>
          <w:szCs w:val="22"/>
        </w:rPr>
        <w:t>The Economic Journal</w:t>
      </w:r>
      <w:r w:rsidRPr="004E6953">
        <w:rPr>
          <w:sz w:val="22"/>
          <w:szCs w:val="22"/>
        </w:rPr>
        <w:t xml:space="preserve"> 113, F34-F63. </w:t>
      </w:r>
    </w:p>
    <w:p w14:paraId="0B037B83"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Ladd, H. F., &amp; Fiske, E. B. (Eds.). (2015). Handbook of Research in Education Finance and Policy. New York, NY: Routledge. </w:t>
      </w:r>
    </w:p>
    <w:p w14:paraId="1FA6063E" w14:textId="77777777" w:rsidR="00A20361" w:rsidRPr="004E6953" w:rsidRDefault="00A20361" w:rsidP="00A20361">
      <w:pPr>
        <w:widowControl w:val="0"/>
        <w:autoSpaceDE w:val="0"/>
        <w:autoSpaceDN w:val="0"/>
        <w:adjustRightInd w:val="0"/>
        <w:spacing w:after="240" w:line="360" w:lineRule="auto"/>
        <w:rPr>
          <w:sz w:val="22"/>
          <w:szCs w:val="22"/>
        </w:rPr>
      </w:pPr>
      <w:r w:rsidRPr="004E6953">
        <w:rPr>
          <w:sz w:val="22"/>
          <w:szCs w:val="22"/>
        </w:rPr>
        <w:t xml:space="preserve">Lawrence, R. Z. (2017). Recent manufacturing employment growth: The expectation that proves the rule. </w:t>
      </w:r>
      <w:r w:rsidRPr="004E6953">
        <w:rPr>
          <w:i/>
          <w:sz w:val="22"/>
          <w:szCs w:val="22"/>
        </w:rPr>
        <w:t>NBER Working Paper No.24151.</w:t>
      </w:r>
      <w:r w:rsidRPr="004E6953">
        <w:rPr>
          <w:sz w:val="22"/>
          <w:szCs w:val="22"/>
        </w:rPr>
        <w:t xml:space="preserve"> </w:t>
      </w:r>
    </w:p>
    <w:p w14:paraId="3F4A2E19" w14:textId="77777777" w:rsidR="00A20361" w:rsidRPr="004E6953" w:rsidRDefault="00A20361" w:rsidP="00A20361">
      <w:pPr>
        <w:widowControl w:val="0"/>
        <w:autoSpaceDE w:val="0"/>
        <w:autoSpaceDN w:val="0"/>
        <w:adjustRightInd w:val="0"/>
        <w:spacing w:after="240" w:line="360" w:lineRule="auto"/>
        <w:jc w:val="both"/>
        <w:rPr>
          <w:sz w:val="22"/>
          <w:szCs w:val="22"/>
        </w:rPr>
      </w:pPr>
      <w:r w:rsidRPr="004E6953">
        <w:rPr>
          <w:sz w:val="22"/>
          <w:szCs w:val="22"/>
        </w:rPr>
        <w:t xml:space="preserve">Martorell, P., </w:t>
      </w:r>
      <w:proofErr w:type="spellStart"/>
      <w:r w:rsidRPr="004E6953">
        <w:rPr>
          <w:sz w:val="22"/>
          <w:szCs w:val="22"/>
        </w:rPr>
        <w:t>Stange</w:t>
      </w:r>
      <w:proofErr w:type="spellEnd"/>
      <w:r w:rsidRPr="004E6953">
        <w:rPr>
          <w:sz w:val="22"/>
          <w:szCs w:val="22"/>
        </w:rPr>
        <w:t xml:space="preserve">, K. M., &amp; McFarlin, I. (2015). Investing in schools: Capital spending, facility conditions, and student achievement. </w:t>
      </w:r>
      <w:r w:rsidRPr="004E6953">
        <w:rPr>
          <w:i/>
          <w:sz w:val="22"/>
          <w:szCs w:val="22"/>
        </w:rPr>
        <w:t>NBER Working Paper No.21515</w:t>
      </w:r>
      <w:r w:rsidRPr="004E6953">
        <w:rPr>
          <w:sz w:val="22"/>
          <w:szCs w:val="22"/>
        </w:rPr>
        <w:t xml:space="preserve">. </w:t>
      </w:r>
    </w:p>
    <w:p w14:paraId="1BD74A0E" w14:textId="77777777" w:rsidR="00A20361" w:rsidRPr="004E6953" w:rsidRDefault="00A20361" w:rsidP="00A20361">
      <w:pPr>
        <w:widowControl w:val="0"/>
        <w:autoSpaceDE w:val="0"/>
        <w:autoSpaceDN w:val="0"/>
        <w:adjustRightInd w:val="0"/>
        <w:spacing w:after="100" w:line="360" w:lineRule="auto"/>
        <w:jc w:val="both"/>
        <w:rPr>
          <w:sz w:val="22"/>
          <w:szCs w:val="22"/>
        </w:rPr>
      </w:pPr>
      <w:r w:rsidRPr="004E6953">
        <w:rPr>
          <w:sz w:val="22"/>
          <w:szCs w:val="22"/>
        </w:rPr>
        <w:t xml:space="preserve">Murray, S. E., Evans, W. N., &amp; Schwab, R. M. (1998). Education-finance reform and the distribution of education resources. </w:t>
      </w:r>
      <w:r w:rsidRPr="004E6953">
        <w:rPr>
          <w:i/>
          <w:sz w:val="22"/>
          <w:szCs w:val="22"/>
        </w:rPr>
        <w:t>American Economic Review</w:t>
      </w:r>
      <w:r w:rsidRPr="004E6953">
        <w:rPr>
          <w:sz w:val="22"/>
          <w:szCs w:val="22"/>
        </w:rPr>
        <w:t xml:space="preserve">, 88(4), 789-812. </w:t>
      </w:r>
    </w:p>
    <w:p w14:paraId="2D40ADD0" w14:textId="77777777" w:rsidR="00A20361" w:rsidRPr="004E6953" w:rsidRDefault="00A20361" w:rsidP="00A20361">
      <w:pPr>
        <w:spacing w:after="100" w:line="360" w:lineRule="auto"/>
        <w:rPr>
          <w:sz w:val="22"/>
          <w:szCs w:val="22"/>
        </w:rPr>
      </w:pPr>
      <w:r w:rsidRPr="004E6953">
        <w:rPr>
          <w:sz w:val="22"/>
          <w:szCs w:val="22"/>
        </w:rPr>
        <w:t xml:space="preserve">National Research Council. (1999). Equity and Adequacy in Education Finance: Issues and Perspectives. </w:t>
      </w:r>
      <w:r w:rsidRPr="004E6953">
        <w:rPr>
          <w:i/>
          <w:sz w:val="22"/>
          <w:szCs w:val="22"/>
        </w:rPr>
        <w:t>Washington, DC: The National Academies Press</w:t>
      </w:r>
      <w:r w:rsidRPr="004E6953">
        <w:rPr>
          <w:sz w:val="22"/>
          <w:szCs w:val="22"/>
        </w:rPr>
        <w:t xml:space="preserve">. </w:t>
      </w:r>
      <w:hyperlink r:id="rId8" w:history="1">
        <w:r w:rsidRPr="004E6953">
          <w:rPr>
            <w:rStyle w:val="Hyperlink"/>
            <w:sz w:val="22"/>
            <w:szCs w:val="22"/>
          </w:rPr>
          <w:t>https://doi.org/10.17226/6166</w:t>
        </w:r>
      </w:hyperlink>
      <w:r w:rsidRPr="00E0765B">
        <w:rPr>
          <w:sz w:val="22"/>
          <w:szCs w:val="22"/>
        </w:rPr>
        <w:t>.</w:t>
      </w:r>
    </w:p>
    <w:p w14:paraId="2558DD48" w14:textId="77777777" w:rsidR="00A20361" w:rsidRPr="004E6953" w:rsidRDefault="00A20361" w:rsidP="00A20361">
      <w:pPr>
        <w:widowControl w:val="0"/>
        <w:autoSpaceDE w:val="0"/>
        <w:autoSpaceDN w:val="0"/>
        <w:adjustRightInd w:val="0"/>
        <w:spacing w:after="100" w:line="360" w:lineRule="auto"/>
        <w:jc w:val="both"/>
        <w:rPr>
          <w:sz w:val="22"/>
          <w:szCs w:val="22"/>
        </w:rPr>
      </w:pPr>
      <w:r w:rsidRPr="004E6953">
        <w:rPr>
          <w:sz w:val="22"/>
          <w:szCs w:val="22"/>
        </w:rPr>
        <w:t xml:space="preserve">Nielson, C., &amp; Zimmerman, S. (2014). The effect of school construction on test scores, school enrollment, and home prices. </w:t>
      </w:r>
      <w:r w:rsidRPr="004E6953">
        <w:rPr>
          <w:i/>
          <w:sz w:val="22"/>
          <w:szCs w:val="22"/>
        </w:rPr>
        <w:t>Journal of Public Economics</w:t>
      </w:r>
      <w:r w:rsidRPr="004E6953">
        <w:rPr>
          <w:sz w:val="22"/>
          <w:szCs w:val="22"/>
        </w:rPr>
        <w:t xml:space="preserve"> 120. </w:t>
      </w:r>
    </w:p>
    <w:p w14:paraId="5D2DC907" w14:textId="77777777" w:rsidR="00A20361" w:rsidRPr="005B294B" w:rsidRDefault="00A20361" w:rsidP="00A20361">
      <w:pPr>
        <w:rPr>
          <w:sz w:val="22"/>
          <w:szCs w:val="22"/>
        </w:rPr>
      </w:pPr>
    </w:p>
    <w:p w14:paraId="40860263" w14:textId="77777777" w:rsidR="00A20361" w:rsidRPr="005B294B" w:rsidRDefault="00A20361" w:rsidP="00A20361">
      <w:pPr>
        <w:rPr>
          <w:rFonts w:ascii="Times" w:hAnsi="Times" w:cs="Times"/>
          <w:color w:val="000000"/>
        </w:rPr>
      </w:pPr>
    </w:p>
    <w:p w14:paraId="70165891" w14:textId="77777777" w:rsidR="00A20361" w:rsidRDefault="00A20361" w:rsidP="00A20361">
      <w:pPr>
        <w:rPr>
          <w:rFonts w:ascii="Times" w:hAnsi="Times" w:cs="Times"/>
          <w:bCs/>
          <w:color w:val="000000"/>
          <w:kern w:val="36"/>
        </w:rPr>
      </w:pPr>
      <w:r>
        <w:rPr>
          <w:rFonts w:ascii="Times" w:hAnsi="Times" w:cs="Times"/>
          <w:b/>
          <w:color w:val="000000"/>
        </w:rPr>
        <w:br w:type="page"/>
      </w:r>
    </w:p>
    <w:p w14:paraId="2450B341" w14:textId="7D0841D2" w:rsidR="00A20361" w:rsidRDefault="00A20361" w:rsidP="00A20361">
      <w:pPr>
        <w:pStyle w:val="Heading1"/>
        <w:spacing w:before="0" w:beforeAutospacing="0" w:after="225" w:afterAutospacing="0" w:line="396" w:lineRule="atLeast"/>
        <w:jc w:val="center"/>
        <w:rPr>
          <w:rFonts w:ascii="Times" w:hAnsi="Times"/>
          <w:b w:val="0"/>
          <w:color w:val="101F28"/>
          <w:sz w:val="24"/>
          <w:szCs w:val="24"/>
        </w:rPr>
      </w:pPr>
      <w:r w:rsidRPr="004D2110">
        <w:rPr>
          <w:rFonts w:ascii="Times" w:hAnsi="Times" w:cs="Times"/>
          <w:b w:val="0"/>
          <w:color w:val="000000"/>
          <w:sz w:val="24"/>
          <w:szCs w:val="24"/>
        </w:rPr>
        <w:lastRenderedPageBreak/>
        <w:t>Figure 1</w:t>
      </w:r>
      <w:r>
        <w:rPr>
          <w:rFonts w:ascii="Times" w:hAnsi="Times" w:cs="Times"/>
          <w:b w:val="0"/>
          <w:color w:val="000000"/>
          <w:sz w:val="24"/>
          <w:szCs w:val="24"/>
        </w:rPr>
        <w:t xml:space="preserve"> </w:t>
      </w:r>
      <w:r w:rsidRPr="004D68FD">
        <w:rPr>
          <w:rFonts w:ascii="Times" w:hAnsi="Times"/>
          <w:b w:val="0"/>
          <w:color w:val="101F28"/>
          <w:sz w:val="24"/>
          <w:szCs w:val="24"/>
        </w:rPr>
        <w:t xml:space="preserve">GDP </w:t>
      </w:r>
      <w:r w:rsidR="00AB3FF6">
        <w:rPr>
          <w:rFonts w:ascii="Times" w:hAnsi="Times"/>
          <w:b w:val="0"/>
          <w:color w:val="101F28"/>
          <w:sz w:val="24"/>
          <w:szCs w:val="24"/>
        </w:rPr>
        <w:t>P</w:t>
      </w:r>
      <w:r w:rsidRPr="004D68FD">
        <w:rPr>
          <w:rFonts w:ascii="Times" w:hAnsi="Times"/>
          <w:b w:val="0"/>
          <w:color w:val="101F28"/>
          <w:sz w:val="24"/>
          <w:szCs w:val="24"/>
        </w:rPr>
        <w:t xml:space="preserve">er </w:t>
      </w:r>
      <w:r w:rsidR="00AB3FF6">
        <w:rPr>
          <w:rFonts w:ascii="Times" w:hAnsi="Times"/>
          <w:b w:val="0"/>
          <w:color w:val="101F28"/>
          <w:sz w:val="24"/>
          <w:szCs w:val="24"/>
        </w:rPr>
        <w:t>C</w:t>
      </w:r>
      <w:r w:rsidRPr="004D68FD">
        <w:rPr>
          <w:rFonts w:ascii="Times" w:hAnsi="Times"/>
          <w:b w:val="0"/>
          <w:color w:val="101F28"/>
          <w:sz w:val="24"/>
          <w:szCs w:val="24"/>
        </w:rPr>
        <w:t>apita</w:t>
      </w:r>
      <w:r w:rsidR="00AB3FF6">
        <w:rPr>
          <w:rFonts w:ascii="Times" w:hAnsi="Times"/>
          <w:b w:val="0"/>
          <w:color w:val="101F28"/>
          <w:sz w:val="24"/>
          <w:szCs w:val="24"/>
        </w:rPr>
        <w:t xml:space="preserve"> Growth Rate</w:t>
      </w:r>
      <w:r w:rsidRPr="004D68FD">
        <w:rPr>
          <w:rFonts w:ascii="Times" w:hAnsi="Times"/>
          <w:b w:val="0"/>
          <w:color w:val="101F28"/>
          <w:sz w:val="24"/>
          <w:szCs w:val="24"/>
        </w:rPr>
        <w:t xml:space="preserve"> </w:t>
      </w:r>
      <w:r w:rsidR="00AB3FF6">
        <w:rPr>
          <w:rFonts w:ascii="Times" w:hAnsi="Times"/>
          <w:b w:val="0"/>
          <w:color w:val="101F28"/>
          <w:sz w:val="24"/>
          <w:szCs w:val="24"/>
        </w:rPr>
        <w:t>(Annual %</w:t>
      </w:r>
      <w:r w:rsidRPr="004D68FD">
        <w:rPr>
          <w:rFonts w:ascii="Times" w:hAnsi="Times"/>
          <w:b w:val="0"/>
          <w:color w:val="101F28"/>
          <w:sz w:val="24"/>
          <w:szCs w:val="24"/>
        </w:rPr>
        <w:t>)</w:t>
      </w:r>
    </w:p>
    <w:p w14:paraId="46F992C3" w14:textId="59FC46F3" w:rsidR="00A20361" w:rsidRDefault="00AB3FF6" w:rsidP="00AB3FF6">
      <w:pPr>
        <w:pStyle w:val="Heading1"/>
        <w:spacing w:before="0" w:beforeAutospacing="0" w:after="225" w:afterAutospacing="0" w:line="396" w:lineRule="atLeast"/>
        <w:jc w:val="center"/>
      </w:pPr>
      <w:r>
        <w:rPr>
          <w:noProof/>
          <w:lang w:eastAsia="en-US"/>
        </w:rPr>
        <w:drawing>
          <wp:inline distT="0" distB="0" distL="0" distR="0" wp14:anchorId="7A9CECC1" wp14:editId="7133A790">
            <wp:extent cx="4572000" cy="2743200"/>
            <wp:effectExtent l="0" t="0" r="12700" b="12700"/>
            <wp:docPr id="1" name="Chart 1">
              <a:extLst xmlns:a="http://schemas.openxmlformats.org/drawingml/2006/main">
                <a:ext uri="{FF2B5EF4-FFF2-40B4-BE49-F238E27FC236}">
                  <a16:creationId xmlns:a16="http://schemas.microsoft.com/office/drawing/2014/main" id="{1FB01B86-CE9E-0B44-A4CE-D6BC42271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802DFC" w14:textId="77777777" w:rsidR="00A20361" w:rsidRPr="00DE6C9E" w:rsidRDefault="00A20361" w:rsidP="00A20361">
      <w:pPr>
        <w:jc w:val="center"/>
        <w:rPr>
          <w:rFonts w:ascii="Times" w:hAnsi="Times" w:cs="Times"/>
          <w:color w:val="000000"/>
          <w:sz w:val="20"/>
          <w:szCs w:val="20"/>
        </w:rPr>
      </w:pPr>
      <w:r w:rsidRPr="00DE6C9E">
        <w:rPr>
          <w:rFonts w:ascii="Times" w:hAnsi="Times" w:cs="Times"/>
          <w:color w:val="000000"/>
          <w:sz w:val="20"/>
          <w:szCs w:val="20"/>
        </w:rPr>
        <w:t>Source: The world bank</w:t>
      </w:r>
    </w:p>
    <w:p w14:paraId="23711303" w14:textId="77777777" w:rsidR="00A20361" w:rsidRDefault="00A20361" w:rsidP="00A20361">
      <w:pPr>
        <w:jc w:val="center"/>
        <w:rPr>
          <w:rFonts w:ascii="Times" w:hAnsi="Times" w:cs="Times"/>
          <w:color w:val="000000"/>
        </w:rPr>
      </w:pPr>
    </w:p>
    <w:p w14:paraId="43F3144F" w14:textId="77777777" w:rsidR="00A20361" w:rsidRDefault="00A20361" w:rsidP="00A20361">
      <w:pPr>
        <w:jc w:val="center"/>
        <w:rPr>
          <w:rFonts w:ascii="Times" w:hAnsi="Times" w:cs="Times"/>
          <w:color w:val="000000"/>
        </w:rPr>
      </w:pPr>
    </w:p>
    <w:p w14:paraId="5F5EF9B5" w14:textId="77777777" w:rsidR="00A20361" w:rsidRDefault="00A20361" w:rsidP="00A20361">
      <w:pPr>
        <w:jc w:val="center"/>
        <w:rPr>
          <w:rFonts w:ascii="Times" w:hAnsi="Times" w:cs="Times"/>
          <w:color w:val="000000"/>
        </w:rPr>
      </w:pPr>
    </w:p>
    <w:p w14:paraId="599E7AE1" w14:textId="77777777" w:rsidR="00A20361" w:rsidRDefault="00A20361" w:rsidP="00A20361">
      <w:pPr>
        <w:jc w:val="center"/>
        <w:rPr>
          <w:rFonts w:ascii="Times" w:hAnsi="Times" w:cs="Times"/>
          <w:color w:val="000000"/>
        </w:rPr>
      </w:pPr>
      <w:r w:rsidRPr="004D2110">
        <w:rPr>
          <w:rFonts w:ascii="Times" w:hAnsi="Times" w:cs="Times"/>
          <w:color w:val="000000"/>
        </w:rPr>
        <w:t xml:space="preserve">Figure </w:t>
      </w:r>
      <w:r>
        <w:rPr>
          <w:rFonts w:ascii="Times" w:hAnsi="Times" w:cs="Times"/>
          <w:color w:val="000000"/>
        </w:rPr>
        <w:t xml:space="preserve">2 Public K-12 </w:t>
      </w:r>
      <w:r>
        <w:rPr>
          <w:rFonts w:ascii="Times" w:hAnsi="Times" w:cs="Times" w:hint="eastAsia"/>
          <w:color w:val="000000"/>
        </w:rPr>
        <w:t>School</w:t>
      </w:r>
      <w:r>
        <w:rPr>
          <w:rFonts w:ascii="Times" w:hAnsi="Times" w:cs="Times"/>
          <w:color w:val="000000"/>
        </w:rPr>
        <w:t xml:space="preserve"> </w:t>
      </w:r>
      <w:r>
        <w:rPr>
          <w:rFonts w:ascii="Times" w:hAnsi="Times" w:cs="Times" w:hint="eastAsia"/>
          <w:color w:val="000000"/>
        </w:rPr>
        <w:t>Revenue</w:t>
      </w:r>
      <w:r>
        <w:rPr>
          <w:rFonts w:ascii="Times" w:hAnsi="Times" w:cs="Times"/>
          <w:color w:val="000000"/>
        </w:rPr>
        <w:t xml:space="preserve"> by Sources</w:t>
      </w:r>
    </w:p>
    <w:p w14:paraId="2FDCF9AF" w14:textId="0DA85797" w:rsidR="00A20361" w:rsidRDefault="001D25C3" w:rsidP="00A20361">
      <w:pPr>
        <w:jc w:val="center"/>
        <w:rPr>
          <w:rFonts w:ascii="Times" w:hAnsi="Times" w:cs="Times"/>
          <w:color w:val="000000"/>
        </w:rPr>
      </w:pPr>
      <w:r>
        <w:rPr>
          <w:noProof/>
          <w:lang w:eastAsia="en-US"/>
        </w:rPr>
        <w:drawing>
          <wp:inline distT="0" distB="0" distL="0" distR="0" wp14:anchorId="79135BB6" wp14:editId="2E4CAA4E">
            <wp:extent cx="4262718" cy="2729753"/>
            <wp:effectExtent l="0" t="0" r="17780" b="13970"/>
            <wp:docPr id="2" name="Chart 2">
              <a:extLst xmlns:a="http://schemas.openxmlformats.org/drawingml/2006/main">
                <a:ext uri="{FF2B5EF4-FFF2-40B4-BE49-F238E27FC236}">
                  <a16:creationId xmlns:a16="http://schemas.microsoft.com/office/drawing/2014/main" id="{BFE01131-691B-C142-A410-6137C1514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637049" w14:textId="77777777" w:rsidR="00A20361" w:rsidRDefault="00A20361" w:rsidP="00A20361">
      <w:pPr>
        <w:jc w:val="center"/>
        <w:rPr>
          <w:rFonts w:ascii="Times" w:hAnsi="Times" w:cs="Times"/>
          <w:color w:val="000000"/>
        </w:rPr>
      </w:pPr>
    </w:p>
    <w:p w14:paraId="40D785D3" w14:textId="77777777" w:rsidR="00A20361" w:rsidRDefault="00A20361" w:rsidP="00AB5C7C">
      <w:pPr>
        <w:jc w:val="both"/>
        <w:rPr>
          <w:rFonts w:ascii="Times" w:hAnsi="Times" w:cs="Times"/>
          <w:color w:val="000000"/>
        </w:rPr>
      </w:pPr>
      <w:r w:rsidRPr="00872640">
        <w:rPr>
          <w:rFonts w:ascii="Calibri" w:hAnsi="Calibri" w:cs="Calibri"/>
          <w:color w:val="000000"/>
        </w:rPr>
        <w:t>﻿</w:t>
      </w:r>
      <w:r w:rsidRPr="00DE6C9E">
        <w:rPr>
          <w:rFonts w:ascii="Times" w:hAnsi="Times" w:cs="Times"/>
          <w:color w:val="000000"/>
          <w:sz w:val="20"/>
          <w:szCs w:val="20"/>
        </w:rPr>
        <w:t>Source: U.S. Department of Education, National Center for Education Statistics, 2010 Digest of Education Statistics, Table 180 Revenues for public elementary and secondary schools, by source of funds: Selected years, 1919-20 through 2007-08</w:t>
      </w:r>
    </w:p>
    <w:p w14:paraId="2735B94F" w14:textId="77777777" w:rsidR="00A20361" w:rsidRDefault="00A20361" w:rsidP="00A20361">
      <w:pPr>
        <w:jc w:val="center"/>
        <w:rPr>
          <w:rFonts w:ascii="Times" w:hAnsi="Times" w:cs="Times"/>
          <w:color w:val="000000"/>
        </w:rPr>
      </w:pPr>
      <w:r>
        <w:rPr>
          <w:rFonts w:ascii="Times" w:hAnsi="Times" w:cs="Times"/>
          <w:color w:val="000000"/>
        </w:rPr>
        <w:t xml:space="preserve"> </w:t>
      </w:r>
    </w:p>
    <w:p w14:paraId="5312D461" w14:textId="77777777" w:rsidR="00A20361" w:rsidRDefault="00A20361" w:rsidP="00A20361">
      <w:pPr>
        <w:jc w:val="center"/>
        <w:rPr>
          <w:rFonts w:ascii="Times" w:hAnsi="Times" w:cs="Times"/>
          <w:color w:val="000000"/>
        </w:rPr>
      </w:pPr>
    </w:p>
    <w:p w14:paraId="146A6E6C" w14:textId="77777777" w:rsidR="00A20361" w:rsidRDefault="00A20361" w:rsidP="00A20361">
      <w:pPr>
        <w:jc w:val="center"/>
        <w:rPr>
          <w:rFonts w:ascii="Times" w:hAnsi="Times" w:cs="Times"/>
          <w:color w:val="000000"/>
        </w:rPr>
      </w:pPr>
    </w:p>
    <w:p w14:paraId="521AEF43" w14:textId="77777777" w:rsidR="00A20361" w:rsidRDefault="00A20361" w:rsidP="00A20361">
      <w:pPr>
        <w:jc w:val="center"/>
        <w:rPr>
          <w:rFonts w:ascii="Times" w:hAnsi="Times" w:cs="Times"/>
          <w:color w:val="000000"/>
        </w:rPr>
      </w:pPr>
    </w:p>
    <w:p w14:paraId="6E59C8DC" w14:textId="77777777" w:rsidR="00A20361" w:rsidRDefault="00A20361" w:rsidP="00A20361">
      <w:pPr>
        <w:jc w:val="center"/>
        <w:rPr>
          <w:rFonts w:ascii="Times" w:hAnsi="Times" w:cs="Times"/>
          <w:color w:val="000000"/>
        </w:rPr>
      </w:pPr>
    </w:p>
    <w:p w14:paraId="057B92DE" w14:textId="3E3AC54C" w:rsidR="00A20361" w:rsidRDefault="00A20361" w:rsidP="00A20361">
      <w:pPr>
        <w:rPr>
          <w:rFonts w:ascii="Times" w:hAnsi="Times" w:cs="Times"/>
          <w:color w:val="000000"/>
        </w:rPr>
      </w:pPr>
    </w:p>
    <w:p w14:paraId="70BDF456" w14:textId="77777777" w:rsidR="00A20361" w:rsidRPr="000E7A84" w:rsidRDefault="00A20361" w:rsidP="000E7A84">
      <w:pPr>
        <w:rPr>
          <w:rFonts w:ascii="Times" w:hAnsi="Times" w:cs="Times"/>
          <w:b/>
          <w:bCs/>
          <w:color w:val="000000"/>
        </w:rPr>
      </w:pPr>
      <w:r w:rsidRPr="000E7A84">
        <w:rPr>
          <w:rFonts w:ascii="Times" w:hAnsi="Times" w:cs="Times" w:hint="eastAsia"/>
          <w:b/>
          <w:bCs/>
          <w:color w:val="000000"/>
        </w:rPr>
        <w:t>Table</w:t>
      </w:r>
      <w:r w:rsidRPr="000E7A84">
        <w:rPr>
          <w:rFonts w:ascii="Times" w:hAnsi="Times" w:cs="Times"/>
          <w:b/>
          <w:bCs/>
          <w:color w:val="000000"/>
        </w:rPr>
        <w:t xml:space="preserve"> 1. Local and State Revenue by Source, 2000</w:t>
      </w:r>
    </w:p>
    <w:p w14:paraId="42536F18" w14:textId="7955B9AE" w:rsidR="00A20361" w:rsidRDefault="001F54C1" w:rsidP="000E7A84">
      <w:pPr>
        <w:tabs>
          <w:tab w:val="left" w:pos="5505"/>
        </w:tabs>
        <w:rPr>
          <w:rFonts w:ascii="Times" w:hAnsi="Times" w:cs="Times"/>
          <w:color w:val="000000"/>
        </w:rPr>
      </w:pPr>
      <w:r>
        <w:rPr>
          <w:rFonts w:ascii="Times" w:hAnsi="Times" w:cs="Times"/>
          <w:color w:val="000000"/>
        </w:rPr>
        <w:tab/>
      </w:r>
    </w:p>
    <w:tbl>
      <w:tblPr>
        <w:tblW w:w="6407" w:type="dxa"/>
        <w:jc w:val="center"/>
        <w:tblLook w:val="04A0" w:firstRow="1" w:lastRow="0" w:firstColumn="1" w:lastColumn="0" w:noHBand="0" w:noVBand="1"/>
      </w:tblPr>
      <w:tblGrid>
        <w:gridCol w:w="1364"/>
        <w:gridCol w:w="1039"/>
        <w:gridCol w:w="866"/>
        <w:gridCol w:w="933"/>
        <w:gridCol w:w="866"/>
        <w:gridCol w:w="933"/>
        <w:gridCol w:w="866"/>
        <w:gridCol w:w="933"/>
      </w:tblGrid>
      <w:tr w:rsidR="00A20361" w:rsidRPr="00F42BA4" w14:paraId="09B675FF" w14:textId="77777777" w:rsidTr="0048210B">
        <w:trPr>
          <w:trHeight w:val="317"/>
          <w:jc w:val="center"/>
        </w:trPr>
        <w:tc>
          <w:tcPr>
            <w:tcW w:w="1364" w:type="dxa"/>
            <w:tcBorders>
              <w:top w:val="single" w:sz="4" w:space="0" w:color="auto"/>
              <w:left w:val="nil"/>
              <w:bottom w:val="nil"/>
              <w:right w:val="nil"/>
            </w:tcBorders>
            <w:shd w:val="clear" w:color="auto" w:fill="auto"/>
            <w:noWrap/>
            <w:vAlign w:val="bottom"/>
            <w:hideMark/>
          </w:tcPr>
          <w:p w14:paraId="15D9BC45" w14:textId="77777777" w:rsidR="00A20361" w:rsidRPr="00DE6C9E" w:rsidRDefault="00A20361" w:rsidP="0048210B">
            <w:pPr>
              <w:jc w:val="center"/>
              <w:rPr>
                <w:rFonts w:ascii="Times" w:hAnsi="Times" w:cs="Times"/>
                <w:color w:val="000000"/>
              </w:rPr>
            </w:pPr>
            <w:r w:rsidRPr="00DE6C9E">
              <w:rPr>
                <w:rFonts w:ascii="Times" w:hAnsi="Times" w:cs="Times"/>
                <w:color w:val="000000"/>
              </w:rPr>
              <w:t> </w:t>
            </w:r>
          </w:p>
        </w:tc>
        <w:tc>
          <w:tcPr>
            <w:tcW w:w="720" w:type="dxa"/>
            <w:tcBorders>
              <w:top w:val="single" w:sz="4" w:space="0" w:color="auto"/>
              <w:left w:val="nil"/>
              <w:bottom w:val="nil"/>
              <w:right w:val="nil"/>
            </w:tcBorders>
            <w:shd w:val="clear" w:color="auto" w:fill="auto"/>
            <w:noWrap/>
            <w:vAlign w:val="bottom"/>
            <w:hideMark/>
          </w:tcPr>
          <w:p w14:paraId="5D1860A8" w14:textId="77777777" w:rsidR="00A20361" w:rsidRPr="00DE6C9E" w:rsidRDefault="00A20361" w:rsidP="0048210B">
            <w:pPr>
              <w:jc w:val="center"/>
              <w:rPr>
                <w:rFonts w:ascii="Times" w:hAnsi="Times" w:cs="Times"/>
                <w:color w:val="000000"/>
              </w:rPr>
            </w:pPr>
            <w:r w:rsidRPr="00DE6C9E">
              <w:rPr>
                <w:rFonts w:ascii="Times" w:hAnsi="Times" w:cs="Times"/>
                <w:color w:val="000000"/>
              </w:rPr>
              <w:t> </w:t>
            </w:r>
          </w:p>
        </w:tc>
        <w:tc>
          <w:tcPr>
            <w:tcW w:w="1441" w:type="dxa"/>
            <w:gridSpan w:val="2"/>
            <w:tcBorders>
              <w:top w:val="single" w:sz="4" w:space="0" w:color="auto"/>
              <w:left w:val="nil"/>
              <w:bottom w:val="nil"/>
              <w:right w:val="nil"/>
            </w:tcBorders>
            <w:shd w:val="clear" w:color="auto" w:fill="auto"/>
            <w:noWrap/>
            <w:vAlign w:val="bottom"/>
            <w:hideMark/>
          </w:tcPr>
          <w:p w14:paraId="0B40F2B6" w14:textId="77777777" w:rsidR="00A20361" w:rsidRPr="00DE6C9E" w:rsidRDefault="00A20361" w:rsidP="0048210B">
            <w:pPr>
              <w:jc w:val="center"/>
              <w:rPr>
                <w:sz w:val="20"/>
                <w:szCs w:val="20"/>
              </w:rPr>
            </w:pPr>
            <w:r w:rsidRPr="00DE6C9E">
              <w:rPr>
                <w:sz w:val="20"/>
                <w:szCs w:val="20"/>
              </w:rPr>
              <w:t>State</w:t>
            </w:r>
          </w:p>
        </w:tc>
        <w:tc>
          <w:tcPr>
            <w:tcW w:w="1441" w:type="dxa"/>
            <w:gridSpan w:val="2"/>
            <w:tcBorders>
              <w:top w:val="single" w:sz="4" w:space="0" w:color="auto"/>
              <w:left w:val="nil"/>
              <w:bottom w:val="nil"/>
              <w:right w:val="nil"/>
            </w:tcBorders>
            <w:shd w:val="clear" w:color="auto" w:fill="auto"/>
            <w:noWrap/>
            <w:vAlign w:val="bottom"/>
            <w:hideMark/>
          </w:tcPr>
          <w:p w14:paraId="55ABF640" w14:textId="77777777" w:rsidR="00A20361" w:rsidRPr="00DE6C9E" w:rsidRDefault="00A20361" w:rsidP="0048210B">
            <w:pPr>
              <w:jc w:val="center"/>
              <w:rPr>
                <w:sz w:val="20"/>
                <w:szCs w:val="20"/>
              </w:rPr>
            </w:pPr>
            <w:r w:rsidRPr="00DE6C9E">
              <w:rPr>
                <w:sz w:val="20"/>
                <w:szCs w:val="20"/>
              </w:rPr>
              <w:t>Local</w:t>
            </w:r>
          </w:p>
        </w:tc>
        <w:tc>
          <w:tcPr>
            <w:tcW w:w="1441" w:type="dxa"/>
            <w:gridSpan w:val="2"/>
            <w:tcBorders>
              <w:top w:val="single" w:sz="4" w:space="0" w:color="auto"/>
              <w:left w:val="nil"/>
              <w:bottom w:val="nil"/>
              <w:right w:val="nil"/>
            </w:tcBorders>
            <w:shd w:val="clear" w:color="auto" w:fill="auto"/>
            <w:noWrap/>
            <w:vAlign w:val="bottom"/>
            <w:hideMark/>
          </w:tcPr>
          <w:p w14:paraId="4112CFB0" w14:textId="77777777" w:rsidR="00A20361" w:rsidRPr="00DE6C9E" w:rsidRDefault="00A20361" w:rsidP="0048210B">
            <w:pPr>
              <w:jc w:val="center"/>
              <w:rPr>
                <w:sz w:val="20"/>
                <w:szCs w:val="20"/>
              </w:rPr>
            </w:pPr>
            <w:r w:rsidRPr="00DE6C9E">
              <w:rPr>
                <w:sz w:val="20"/>
                <w:szCs w:val="20"/>
              </w:rPr>
              <w:t>State &amp; Local</w:t>
            </w:r>
          </w:p>
        </w:tc>
      </w:tr>
      <w:tr w:rsidR="00A20361" w:rsidRPr="00F42BA4" w14:paraId="082FD853" w14:textId="77777777" w:rsidTr="0048210B">
        <w:trPr>
          <w:trHeight w:val="317"/>
          <w:jc w:val="center"/>
        </w:trPr>
        <w:tc>
          <w:tcPr>
            <w:tcW w:w="1364" w:type="dxa"/>
            <w:tcBorders>
              <w:top w:val="nil"/>
              <w:left w:val="nil"/>
              <w:bottom w:val="single" w:sz="4" w:space="0" w:color="auto"/>
              <w:right w:val="nil"/>
            </w:tcBorders>
            <w:shd w:val="clear" w:color="auto" w:fill="auto"/>
            <w:noWrap/>
            <w:vAlign w:val="bottom"/>
            <w:hideMark/>
          </w:tcPr>
          <w:p w14:paraId="37D9700F" w14:textId="77777777" w:rsidR="00A20361" w:rsidRPr="00DE6C9E" w:rsidRDefault="00A20361" w:rsidP="0048210B">
            <w:pPr>
              <w:jc w:val="center"/>
              <w:rPr>
                <w:sz w:val="20"/>
                <w:szCs w:val="20"/>
              </w:rPr>
            </w:pPr>
            <w:r w:rsidRPr="00DE6C9E">
              <w:rPr>
                <w:sz w:val="20"/>
                <w:szCs w:val="20"/>
              </w:rPr>
              <w:t>Tax Type</w:t>
            </w:r>
          </w:p>
        </w:tc>
        <w:tc>
          <w:tcPr>
            <w:tcW w:w="720" w:type="dxa"/>
            <w:tcBorders>
              <w:top w:val="nil"/>
              <w:left w:val="nil"/>
              <w:bottom w:val="single" w:sz="4" w:space="0" w:color="auto"/>
              <w:right w:val="nil"/>
            </w:tcBorders>
            <w:shd w:val="clear" w:color="auto" w:fill="auto"/>
            <w:noWrap/>
            <w:vAlign w:val="bottom"/>
            <w:hideMark/>
          </w:tcPr>
          <w:p w14:paraId="2BACC0AC" w14:textId="77777777" w:rsidR="00A20361" w:rsidRPr="00DE6C9E" w:rsidRDefault="00A20361" w:rsidP="0048210B">
            <w:pPr>
              <w:jc w:val="center"/>
              <w:rPr>
                <w:sz w:val="20"/>
                <w:szCs w:val="20"/>
              </w:rPr>
            </w:pPr>
            <w:r w:rsidRPr="00DE6C9E">
              <w:rPr>
                <w:sz w:val="20"/>
                <w:szCs w:val="20"/>
              </w:rPr>
              <w:t>Tax Source</w:t>
            </w:r>
          </w:p>
        </w:tc>
        <w:tc>
          <w:tcPr>
            <w:tcW w:w="662" w:type="dxa"/>
            <w:tcBorders>
              <w:top w:val="nil"/>
              <w:left w:val="nil"/>
              <w:bottom w:val="single" w:sz="4" w:space="0" w:color="auto"/>
              <w:right w:val="nil"/>
            </w:tcBorders>
            <w:shd w:val="clear" w:color="auto" w:fill="auto"/>
            <w:noWrap/>
            <w:vAlign w:val="bottom"/>
            <w:hideMark/>
          </w:tcPr>
          <w:p w14:paraId="1D685C6E" w14:textId="77777777" w:rsidR="00A20361" w:rsidRPr="00DE6C9E" w:rsidRDefault="00A20361" w:rsidP="0048210B">
            <w:pPr>
              <w:jc w:val="center"/>
              <w:rPr>
                <w:sz w:val="20"/>
                <w:szCs w:val="20"/>
              </w:rPr>
            </w:pPr>
            <w:r w:rsidRPr="00DE6C9E">
              <w:rPr>
                <w:sz w:val="20"/>
                <w:szCs w:val="20"/>
              </w:rPr>
              <w:t>Total</w:t>
            </w:r>
          </w:p>
        </w:tc>
        <w:tc>
          <w:tcPr>
            <w:tcW w:w="778" w:type="dxa"/>
            <w:tcBorders>
              <w:top w:val="nil"/>
              <w:left w:val="nil"/>
              <w:bottom w:val="single" w:sz="4" w:space="0" w:color="auto"/>
              <w:right w:val="nil"/>
            </w:tcBorders>
            <w:shd w:val="clear" w:color="auto" w:fill="auto"/>
            <w:noWrap/>
            <w:vAlign w:val="bottom"/>
            <w:hideMark/>
          </w:tcPr>
          <w:p w14:paraId="47AEA88D" w14:textId="77777777" w:rsidR="00A20361" w:rsidRPr="00DE6C9E" w:rsidRDefault="00A20361" w:rsidP="0048210B">
            <w:pPr>
              <w:jc w:val="center"/>
              <w:rPr>
                <w:sz w:val="20"/>
                <w:szCs w:val="20"/>
              </w:rPr>
            </w:pPr>
            <w:r w:rsidRPr="00DE6C9E">
              <w:rPr>
                <w:sz w:val="20"/>
                <w:szCs w:val="20"/>
              </w:rPr>
              <w:t>Share</w:t>
            </w:r>
          </w:p>
        </w:tc>
        <w:tc>
          <w:tcPr>
            <w:tcW w:w="662" w:type="dxa"/>
            <w:tcBorders>
              <w:top w:val="nil"/>
              <w:left w:val="nil"/>
              <w:bottom w:val="single" w:sz="4" w:space="0" w:color="auto"/>
              <w:right w:val="nil"/>
            </w:tcBorders>
            <w:shd w:val="clear" w:color="auto" w:fill="auto"/>
            <w:noWrap/>
            <w:vAlign w:val="bottom"/>
            <w:hideMark/>
          </w:tcPr>
          <w:p w14:paraId="1284F2BB" w14:textId="77777777" w:rsidR="00A20361" w:rsidRPr="00DE6C9E" w:rsidRDefault="00A20361" w:rsidP="0048210B">
            <w:pPr>
              <w:jc w:val="center"/>
              <w:rPr>
                <w:sz w:val="20"/>
                <w:szCs w:val="20"/>
              </w:rPr>
            </w:pPr>
            <w:r w:rsidRPr="00DE6C9E">
              <w:rPr>
                <w:sz w:val="20"/>
                <w:szCs w:val="20"/>
              </w:rPr>
              <w:t>Total</w:t>
            </w:r>
          </w:p>
        </w:tc>
        <w:tc>
          <w:tcPr>
            <w:tcW w:w="778" w:type="dxa"/>
            <w:tcBorders>
              <w:top w:val="nil"/>
              <w:left w:val="nil"/>
              <w:bottom w:val="single" w:sz="4" w:space="0" w:color="auto"/>
              <w:right w:val="nil"/>
            </w:tcBorders>
            <w:shd w:val="clear" w:color="auto" w:fill="auto"/>
            <w:noWrap/>
            <w:vAlign w:val="bottom"/>
            <w:hideMark/>
          </w:tcPr>
          <w:p w14:paraId="1160AAAE" w14:textId="77777777" w:rsidR="00A20361" w:rsidRPr="00DE6C9E" w:rsidRDefault="00A20361" w:rsidP="0048210B">
            <w:pPr>
              <w:jc w:val="center"/>
              <w:rPr>
                <w:sz w:val="20"/>
                <w:szCs w:val="20"/>
              </w:rPr>
            </w:pPr>
            <w:r w:rsidRPr="00DE6C9E">
              <w:rPr>
                <w:sz w:val="20"/>
                <w:szCs w:val="20"/>
              </w:rPr>
              <w:t>Share</w:t>
            </w:r>
          </w:p>
        </w:tc>
        <w:tc>
          <w:tcPr>
            <w:tcW w:w="662" w:type="dxa"/>
            <w:tcBorders>
              <w:top w:val="nil"/>
              <w:left w:val="nil"/>
              <w:bottom w:val="single" w:sz="4" w:space="0" w:color="auto"/>
              <w:right w:val="nil"/>
            </w:tcBorders>
            <w:shd w:val="clear" w:color="auto" w:fill="auto"/>
            <w:noWrap/>
            <w:vAlign w:val="bottom"/>
            <w:hideMark/>
          </w:tcPr>
          <w:p w14:paraId="44809846" w14:textId="77777777" w:rsidR="00A20361" w:rsidRPr="00DE6C9E" w:rsidRDefault="00A20361" w:rsidP="0048210B">
            <w:pPr>
              <w:jc w:val="center"/>
              <w:rPr>
                <w:sz w:val="20"/>
                <w:szCs w:val="20"/>
              </w:rPr>
            </w:pPr>
            <w:r w:rsidRPr="00DE6C9E">
              <w:rPr>
                <w:sz w:val="20"/>
                <w:szCs w:val="20"/>
              </w:rPr>
              <w:t>Total</w:t>
            </w:r>
          </w:p>
        </w:tc>
        <w:tc>
          <w:tcPr>
            <w:tcW w:w="778" w:type="dxa"/>
            <w:tcBorders>
              <w:top w:val="nil"/>
              <w:left w:val="nil"/>
              <w:bottom w:val="single" w:sz="4" w:space="0" w:color="auto"/>
              <w:right w:val="nil"/>
            </w:tcBorders>
            <w:shd w:val="clear" w:color="auto" w:fill="auto"/>
            <w:noWrap/>
            <w:vAlign w:val="bottom"/>
            <w:hideMark/>
          </w:tcPr>
          <w:p w14:paraId="145E7EB6" w14:textId="77777777" w:rsidR="00A20361" w:rsidRPr="00DE6C9E" w:rsidRDefault="00A20361" w:rsidP="0048210B">
            <w:pPr>
              <w:jc w:val="center"/>
              <w:rPr>
                <w:sz w:val="20"/>
                <w:szCs w:val="20"/>
              </w:rPr>
            </w:pPr>
            <w:r w:rsidRPr="00DE6C9E">
              <w:rPr>
                <w:sz w:val="20"/>
                <w:szCs w:val="20"/>
              </w:rPr>
              <w:t>Share</w:t>
            </w:r>
          </w:p>
        </w:tc>
      </w:tr>
      <w:tr w:rsidR="00A20361" w:rsidRPr="00F42BA4" w14:paraId="060EB6C9"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2E8A9137" w14:textId="77777777" w:rsidR="00A20361" w:rsidRPr="00DE6C9E" w:rsidRDefault="00A20361" w:rsidP="0048210B">
            <w:pPr>
              <w:rPr>
                <w:sz w:val="20"/>
                <w:szCs w:val="20"/>
              </w:rPr>
            </w:pPr>
            <w:r w:rsidRPr="00DE6C9E">
              <w:rPr>
                <w:sz w:val="20"/>
                <w:szCs w:val="20"/>
              </w:rPr>
              <w:t xml:space="preserve">Income </w:t>
            </w:r>
          </w:p>
        </w:tc>
        <w:tc>
          <w:tcPr>
            <w:tcW w:w="720" w:type="dxa"/>
            <w:tcBorders>
              <w:top w:val="nil"/>
              <w:left w:val="nil"/>
              <w:bottom w:val="nil"/>
              <w:right w:val="nil"/>
            </w:tcBorders>
            <w:shd w:val="clear" w:color="auto" w:fill="auto"/>
            <w:noWrap/>
            <w:vAlign w:val="bottom"/>
            <w:hideMark/>
          </w:tcPr>
          <w:p w14:paraId="14F1B324" w14:textId="77777777" w:rsidR="00A20361" w:rsidRPr="00DE6C9E" w:rsidRDefault="00A20361" w:rsidP="0048210B">
            <w:pPr>
              <w:rPr>
                <w:sz w:val="20"/>
                <w:szCs w:val="20"/>
              </w:rPr>
            </w:pPr>
            <w:r w:rsidRPr="00DE6C9E">
              <w:rPr>
                <w:sz w:val="20"/>
                <w:szCs w:val="20"/>
              </w:rPr>
              <w:t>Individual</w:t>
            </w:r>
          </w:p>
        </w:tc>
        <w:tc>
          <w:tcPr>
            <w:tcW w:w="662" w:type="dxa"/>
            <w:tcBorders>
              <w:top w:val="nil"/>
              <w:left w:val="nil"/>
              <w:bottom w:val="nil"/>
              <w:right w:val="nil"/>
            </w:tcBorders>
            <w:shd w:val="clear" w:color="auto" w:fill="auto"/>
            <w:noWrap/>
            <w:vAlign w:val="bottom"/>
            <w:hideMark/>
          </w:tcPr>
          <w:p w14:paraId="17721C7C" w14:textId="0FC35A5C" w:rsidR="00A20361" w:rsidRPr="00DE6C9E" w:rsidRDefault="00A20361" w:rsidP="00DE6C9E">
            <w:pPr>
              <w:rPr>
                <w:sz w:val="20"/>
                <w:szCs w:val="20"/>
              </w:rPr>
            </w:pPr>
            <w:r w:rsidRPr="00DE6C9E">
              <w:rPr>
                <w:sz w:val="20"/>
                <w:szCs w:val="20"/>
              </w:rPr>
              <w:t>204</w:t>
            </w:r>
            <w:r w:rsidR="00797780" w:rsidRPr="00DE6C9E">
              <w:rPr>
                <w:sz w:val="20"/>
                <w:szCs w:val="20"/>
              </w:rPr>
              <w:t>,</w:t>
            </w:r>
            <w:r w:rsidRPr="00DE6C9E">
              <w:rPr>
                <w:sz w:val="20"/>
                <w:szCs w:val="20"/>
              </w:rPr>
              <w:t>554</w:t>
            </w:r>
          </w:p>
        </w:tc>
        <w:tc>
          <w:tcPr>
            <w:tcW w:w="778" w:type="dxa"/>
            <w:tcBorders>
              <w:top w:val="nil"/>
              <w:left w:val="nil"/>
              <w:bottom w:val="nil"/>
              <w:right w:val="nil"/>
            </w:tcBorders>
            <w:shd w:val="clear" w:color="auto" w:fill="auto"/>
            <w:noWrap/>
            <w:vAlign w:val="bottom"/>
            <w:hideMark/>
          </w:tcPr>
          <w:p w14:paraId="0FBB8190" w14:textId="77777777" w:rsidR="00A20361" w:rsidRPr="00DE6C9E" w:rsidRDefault="00A20361" w:rsidP="00DE6C9E">
            <w:pPr>
              <w:rPr>
                <w:sz w:val="20"/>
                <w:szCs w:val="20"/>
              </w:rPr>
            </w:pPr>
            <w:r w:rsidRPr="00DE6C9E">
              <w:rPr>
                <w:sz w:val="20"/>
                <w:szCs w:val="20"/>
              </w:rPr>
              <w:t>37.05%</w:t>
            </w:r>
          </w:p>
        </w:tc>
        <w:tc>
          <w:tcPr>
            <w:tcW w:w="662" w:type="dxa"/>
            <w:tcBorders>
              <w:top w:val="nil"/>
              <w:left w:val="nil"/>
              <w:bottom w:val="nil"/>
              <w:right w:val="nil"/>
            </w:tcBorders>
            <w:shd w:val="clear" w:color="auto" w:fill="auto"/>
            <w:noWrap/>
            <w:vAlign w:val="bottom"/>
            <w:hideMark/>
          </w:tcPr>
          <w:p w14:paraId="276633DA" w14:textId="55C972E0" w:rsidR="00A20361" w:rsidRPr="00DE6C9E" w:rsidRDefault="00A20361" w:rsidP="00DE6C9E">
            <w:pPr>
              <w:rPr>
                <w:sz w:val="20"/>
                <w:szCs w:val="20"/>
              </w:rPr>
            </w:pPr>
            <w:r w:rsidRPr="00DE6C9E">
              <w:rPr>
                <w:sz w:val="20"/>
                <w:szCs w:val="20"/>
              </w:rPr>
              <w:t>17</w:t>
            </w:r>
            <w:r w:rsidR="00797780" w:rsidRPr="00DE6C9E">
              <w:rPr>
                <w:sz w:val="20"/>
                <w:szCs w:val="20"/>
              </w:rPr>
              <w:t>,</w:t>
            </w:r>
            <w:r w:rsidRPr="00DE6C9E">
              <w:rPr>
                <w:sz w:val="20"/>
                <w:szCs w:val="20"/>
              </w:rPr>
              <w:t>340</w:t>
            </w:r>
          </w:p>
        </w:tc>
        <w:tc>
          <w:tcPr>
            <w:tcW w:w="778" w:type="dxa"/>
            <w:tcBorders>
              <w:top w:val="nil"/>
              <w:left w:val="nil"/>
              <w:bottom w:val="nil"/>
              <w:right w:val="nil"/>
            </w:tcBorders>
            <w:shd w:val="clear" w:color="auto" w:fill="auto"/>
            <w:noWrap/>
            <w:vAlign w:val="bottom"/>
            <w:hideMark/>
          </w:tcPr>
          <w:p w14:paraId="16DFF110" w14:textId="77777777" w:rsidR="00A20361" w:rsidRPr="00DE6C9E" w:rsidRDefault="00A20361" w:rsidP="00DE6C9E">
            <w:pPr>
              <w:rPr>
                <w:sz w:val="20"/>
                <w:szCs w:val="20"/>
              </w:rPr>
            </w:pPr>
            <w:r w:rsidRPr="00DE6C9E">
              <w:rPr>
                <w:sz w:val="20"/>
                <w:szCs w:val="20"/>
              </w:rPr>
              <w:t>5.28%</w:t>
            </w:r>
          </w:p>
        </w:tc>
        <w:tc>
          <w:tcPr>
            <w:tcW w:w="662" w:type="dxa"/>
            <w:tcBorders>
              <w:top w:val="nil"/>
              <w:left w:val="nil"/>
              <w:bottom w:val="nil"/>
              <w:right w:val="nil"/>
            </w:tcBorders>
            <w:shd w:val="clear" w:color="auto" w:fill="auto"/>
            <w:noWrap/>
            <w:vAlign w:val="bottom"/>
            <w:hideMark/>
          </w:tcPr>
          <w:p w14:paraId="282FB580" w14:textId="08F203D0" w:rsidR="00A20361" w:rsidRPr="00DE6C9E" w:rsidRDefault="00A20361" w:rsidP="00DE6C9E">
            <w:pPr>
              <w:rPr>
                <w:sz w:val="20"/>
                <w:szCs w:val="20"/>
              </w:rPr>
            </w:pPr>
            <w:r w:rsidRPr="00DE6C9E">
              <w:rPr>
                <w:sz w:val="20"/>
                <w:szCs w:val="20"/>
              </w:rPr>
              <w:t>221</w:t>
            </w:r>
            <w:r w:rsidR="00797780" w:rsidRPr="00DE6C9E">
              <w:rPr>
                <w:sz w:val="20"/>
                <w:szCs w:val="20"/>
              </w:rPr>
              <w:t>,</w:t>
            </w:r>
            <w:r w:rsidRPr="00DE6C9E">
              <w:rPr>
                <w:sz w:val="20"/>
                <w:szCs w:val="20"/>
              </w:rPr>
              <w:t>894</w:t>
            </w:r>
          </w:p>
        </w:tc>
        <w:tc>
          <w:tcPr>
            <w:tcW w:w="778" w:type="dxa"/>
            <w:tcBorders>
              <w:top w:val="nil"/>
              <w:left w:val="nil"/>
              <w:bottom w:val="nil"/>
              <w:right w:val="nil"/>
            </w:tcBorders>
            <w:shd w:val="clear" w:color="auto" w:fill="auto"/>
            <w:noWrap/>
            <w:vAlign w:val="bottom"/>
            <w:hideMark/>
          </w:tcPr>
          <w:p w14:paraId="4952BC4D" w14:textId="77777777" w:rsidR="00A20361" w:rsidRPr="00DE6C9E" w:rsidRDefault="00A20361" w:rsidP="00DE6C9E">
            <w:pPr>
              <w:rPr>
                <w:sz w:val="20"/>
                <w:szCs w:val="20"/>
              </w:rPr>
            </w:pPr>
            <w:r w:rsidRPr="00DE6C9E">
              <w:rPr>
                <w:sz w:val="20"/>
                <w:szCs w:val="20"/>
              </w:rPr>
              <w:t>25.21%</w:t>
            </w:r>
          </w:p>
        </w:tc>
      </w:tr>
      <w:tr w:rsidR="00A20361" w:rsidRPr="00F42BA4" w14:paraId="12A075EA"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7D86E434" w14:textId="77777777" w:rsidR="00A20361" w:rsidRPr="00DE6C9E" w:rsidRDefault="00A20361" w:rsidP="0048210B">
            <w:pPr>
              <w:jc w:val="right"/>
              <w:rPr>
                <w:sz w:val="20"/>
                <w:szCs w:val="20"/>
              </w:rPr>
            </w:pPr>
          </w:p>
        </w:tc>
        <w:tc>
          <w:tcPr>
            <w:tcW w:w="720" w:type="dxa"/>
            <w:tcBorders>
              <w:top w:val="nil"/>
              <w:left w:val="nil"/>
              <w:bottom w:val="nil"/>
              <w:right w:val="nil"/>
            </w:tcBorders>
            <w:shd w:val="clear" w:color="auto" w:fill="auto"/>
            <w:noWrap/>
            <w:vAlign w:val="bottom"/>
            <w:hideMark/>
          </w:tcPr>
          <w:p w14:paraId="3AED9F05" w14:textId="77777777" w:rsidR="00A20361" w:rsidRPr="00DE6C9E" w:rsidRDefault="00A20361" w:rsidP="0048210B">
            <w:pPr>
              <w:rPr>
                <w:sz w:val="20"/>
                <w:szCs w:val="20"/>
              </w:rPr>
            </w:pPr>
            <w:r w:rsidRPr="00DE6C9E">
              <w:rPr>
                <w:sz w:val="20"/>
                <w:szCs w:val="20"/>
              </w:rPr>
              <w:t>Corporate</w:t>
            </w:r>
          </w:p>
        </w:tc>
        <w:tc>
          <w:tcPr>
            <w:tcW w:w="662" w:type="dxa"/>
            <w:tcBorders>
              <w:top w:val="nil"/>
              <w:left w:val="nil"/>
              <w:bottom w:val="nil"/>
              <w:right w:val="nil"/>
            </w:tcBorders>
            <w:shd w:val="clear" w:color="auto" w:fill="auto"/>
            <w:noWrap/>
            <w:vAlign w:val="bottom"/>
            <w:hideMark/>
          </w:tcPr>
          <w:p w14:paraId="48FA4DAB" w14:textId="546E45AD" w:rsidR="00A20361" w:rsidRPr="00DE6C9E" w:rsidRDefault="00A20361" w:rsidP="00DE6C9E">
            <w:pPr>
              <w:rPr>
                <w:sz w:val="20"/>
                <w:szCs w:val="20"/>
              </w:rPr>
            </w:pPr>
            <w:r w:rsidRPr="00DE6C9E">
              <w:rPr>
                <w:sz w:val="20"/>
                <w:szCs w:val="20"/>
              </w:rPr>
              <w:t>33</w:t>
            </w:r>
            <w:r w:rsidR="00797780" w:rsidRPr="00DE6C9E">
              <w:rPr>
                <w:sz w:val="20"/>
                <w:szCs w:val="20"/>
              </w:rPr>
              <w:t>,</w:t>
            </w:r>
            <w:r w:rsidRPr="00DE6C9E">
              <w:rPr>
                <w:sz w:val="20"/>
                <w:szCs w:val="20"/>
              </w:rPr>
              <w:t>813</w:t>
            </w:r>
          </w:p>
        </w:tc>
        <w:tc>
          <w:tcPr>
            <w:tcW w:w="778" w:type="dxa"/>
            <w:tcBorders>
              <w:top w:val="nil"/>
              <w:left w:val="nil"/>
              <w:bottom w:val="nil"/>
              <w:right w:val="nil"/>
            </w:tcBorders>
            <w:shd w:val="clear" w:color="auto" w:fill="auto"/>
            <w:noWrap/>
            <w:vAlign w:val="bottom"/>
            <w:hideMark/>
          </w:tcPr>
          <w:p w14:paraId="45828491" w14:textId="77777777" w:rsidR="00A20361" w:rsidRPr="00DE6C9E" w:rsidRDefault="00A20361" w:rsidP="00DE6C9E">
            <w:pPr>
              <w:rPr>
                <w:sz w:val="20"/>
                <w:szCs w:val="20"/>
              </w:rPr>
            </w:pPr>
            <w:r w:rsidRPr="00DE6C9E">
              <w:rPr>
                <w:sz w:val="20"/>
                <w:szCs w:val="20"/>
              </w:rPr>
              <w:t>6.12%</w:t>
            </w:r>
          </w:p>
        </w:tc>
        <w:tc>
          <w:tcPr>
            <w:tcW w:w="662" w:type="dxa"/>
            <w:tcBorders>
              <w:top w:val="nil"/>
              <w:left w:val="nil"/>
              <w:bottom w:val="nil"/>
              <w:right w:val="nil"/>
            </w:tcBorders>
            <w:shd w:val="clear" w:color="auto" w:fill="auto"/>
            <w:noWrap/>
            <w:vAlign w:val="bottom"/>
            <w:hideMark/>
          </w:tcPr>
          <w:p w14:paraId="3B249AA6" w14:textId="2C48CDF3" w:rsidR="00A20361" w:rsidRPr="00DE6C9E" w:rsidRDefault="00A20361" w:rsidP="00DE6C9E">
            <w:pPr>
              <w:rPr>
                <w:sz w:val="20"/>
                <w:szCs w:val="20"/>
              </w:rPr>
            </w:pPr>
            <w:r w:rsidRPr="00DE6C9E">
              <w:rPr>
                <w:sz w:val="20"/>
                <w:szCs w:val="20"/>
              </w:rPr>
              <w:t>3</w:t>
            </w:r>
            <w:r w:rsidR="00797780" w:rsidRPr="00DE6C9E">
              <w:rPr>
                <w:sz w:val="20"/>
                <w:szCs w:val="20"/>
              </w:rPr>
              <w:t>,</w:t>
            </w:r>
            <w:r w:rsidRPr="00DE6C9E">
              <w:rPr>
                <w:sz w:val="20"/>
                <w:szCs w:val="20"/>
              </w:rPr>
              <w:t>273</w:t>
            </w:r>
          </w:p>
        </w:tc>
        <w:tc>
          <w:tcPr>
            <w:tcW w:w="778" w:type="dxa"/>
            <w:tcBorders>
              <w:top w:val="nil"/>
              <w:left w:val="nil"/>
              <w:bottom w:val="nil"/>
              <w:right w:val="nil"/>
            </w:tcBorders>
            <w:shd w:val="clear" w:color="auto" w:fill="auto"/>
            <w:noWrap/>
            <w:vAlign w:val="bottom"/>
            <w:hideMark/>
          </w:tcPr>
          <w:p w14:paraId="064DA255" w14:textId="77777777" w:rsidR="00A20361" w:rsidRPr="00DE6C9E" w:rsidRDefault="00A20361" w:rsidP="00DE6C9E">
            <w:pPr>
              <w:rPr>
                <w:sz w:val="20"/>
                <w:szCs w:val="20"/>
              </w:rPr>
            </w:pPr>
            <w:r w:rsidRPr="00DE6C9E">
              <w:rPr>
                <w:sz w:val="20"/>
                <w:szCs w:val="20"/>
              </w:rPr>
              <w:t>1.00%</w:t>
            </w:r>
          </w:p>
        </w:tc>
        <w:tc>
          <w:tcPr>
            <w:tcW w:w="662" w:type="dxa"/>
            <w:tcBorders>
              <w:top w:val="nil"/>
              <w:left w:val="nil"/>
              <w:bottom w:val="nil"/>
              <w:right w:val="nil"/>
            </w:tcBorders>
            <w:shd w:val="clear" w:color="auto" w:fill="auto"/>
            <w:noWrap/>
            <w:vAlign w:val="bottom"/>
            <w:hideMark/>
          </w:tcPr>
          <w:p w14:paraId="6B594A0D" w14:textId="47890327" w:rsidR="00A20361" w:rsidRPr="00DE6C9E" w:rsidRDefault="00A20361" w:rsidP="00DE6C9E">
            <w:pPr>
              <w:rPr>
                <w:sz w:val="20"/>
                <w:szCs w:val="20"/>
              </w:rPr>
            </w:pPr>
            <w:r w:rsidRPr="00DE6C9E">
              <w:rPr>
                <w:sz w:val="20"/>
                <w:szCs w:val="20"/>
              </w:rPr>
              <w:t>37</w:t>
            </w:r>
            <w:r w:rsidR="00797780" w:rsidRPr="00DE6C9E">
              <w:rPr>
                <w:sz w:val="20"/>
                <w:szCs w:val="20"/>
              </w:rPr>
              <w:t>,</w:t>
            </w:r>
            <w:r w:rsidRPr="00DE6C9E">
              <w:rPr>
                <w:sz w:val="20"/>
                <w:szCs w:val="20"/>
              </w:rPr>
              <w:t>086</w:t>
            </w:r>
          </w:p>
        </w:tc>
        <w:tc>
          <w:tcPr>
            <w:tcW w:w="778" w:type="dxa"/>
            <w:tcBorders>
              <w:top w:val="nil"/>
              <w:left w:val="nil"/>
              <w:bottom w:val="nil"/>
              <w:right w:val="nil"/>
            </w:tcBorders>
            <w:shd w:val="clear" w:color="auto" w:fill="auto"/>
            <w:noWrap/>
            <w:vAlign w:val="bottom"/>
            <w:hideMark/>
          </w:tcPr>
          <w:p w14:paraId="5B7AD73F" w14:textId="77777777" w:rsidR="00A20361" w:rsidRPr="00DE6C9E" w:rsidRDefault="00A20361" w:rsidP="00DE6C9E">
            <w:pPr>
              <w:rPr>
                <w:sz w:val="20"/>
                <w:szCs w:val="20"/>
              </w:rPr>
            </w:pPr>
            <w:r w:rsidRPr="00DE6C9E">
              <w:rPr>
                <w:sz w:val="20"/>
                <w:szCs w:val="20"/>
              </w:rPr>
              <w:t>4.21%</w:t>
            </w:r>
          </w:p>
        </w:tc>
      </w:tr>
      <w:tr w:rsidR="00A20361" w:rsidRPr="00F42BA4" w14:paraId="5F619797"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30D8464F" w14:textId="77777777" w:rsidR="00A20361" w:rsidRPr="00DE6C9E" w:rsidRDefault="00A20361" w:rsidP="0048210B">
            <w:pPr>
              <w:rPr>
                <w:sz w:val="20"/>
                <w:szCs w:val="20"/>
              </w:rPr>
            </w:pPr>
            <w:r w:rsidRPr="00DE6C9E">
              <w:rPr>
                <w:sz w:val="20"/>
                <w:szCs w:val="20"/>
              </w:rPr>
              <w:t>Property</w:t>
            </w:r>
          </w:p>
        </w:tc>
        <w:tc>
          <w:tcPr>
            <w:tcW w:w="720" w:type="dxa"/>
            <w:tcBorders>
              <w:top w:val="nil"/>
              <w:left w:val="nil"/>
              <w:bottom w:val="nil"/>
              <w:right w:val="nil"/>
            </w:tcBorders>
            <w:shd w:val="clear" w:color="auto" w:fill="auto"/>
            <w:noWrap/>
            <w:vAlign w:val="bottom"/>
            <w:hideMark/>
          </w:tcPr>
          <w:p w14:paraId="740E164B" w14:textId="77777777" w:rsidR="00A20361" w:rsidRPr="00DE6C9E" w:rsidRDefault="00A20361" w:rsidP="0048210B">
            <w:pPr>
              <w:rPr>
                <w:sz w:val="20"/>
                <w:szCs w:val="20"/>
              </w:rPr>
            </w:pPr>
          </w:p>
        </w:tc>
        <w:tc>
          <w:tcPr>
            <w:tcW w:w="662" w:type="dxa"/>
            <w:tcBorders>
              <w:top w:val="nil"/>
              <w:left w:val="nil"/>
              <w:bottom w:val="nil"/>
              <w:right w:val="nil"/>
            </w:tcBorders>
            <w:shd w:val="clear" w:color="auto" w:fill="auto"/>
            <w:noWrap/>
            <w:vAlign w:val="bottom"/>
            <w:hideMark/>
          </w:tcPr>
          <w:p w14:paraId="5B7A3407" w14:textId="2573D7EA" w:rsidR="00A20361" w:rsidRPr="00DE6C9E" w:rsidRDefault="00A20361" w:rsidP="00DE6C9E">
            <w:pPr>
              <w:rPr>
                <w:sz w:val="20"/>
                <w:szCs w:val="20"/>
              </w:rPr>
            </w:pPr>
            <w:r w:rsidRPr="00DE6C9E">
              <w:rPr>
                <w:sz w:val="20"/>
                <w:szCs w:val="20"/>
              </w:rPr>
              <w:t>9</w:t>
            </w:r>
            <w:r w:rsidR="00797780" w:rsidRPr="00DE6C9E">
              <w:rPr>
                <w:sz w:val="20"/>
                <w:szCs w:val="20"/>
              </w:rPr>
              <w:t>,</w:t>
            </w:r>
            <w:r w:rsidRPr="00DE6C9E">
              <w:rPr>
                <w:sz w:val="20"/>
                <w:szCs w:val="20"/>
              </w:rPr>
              <w:t>495</w:t>
            </w:r>
          </w:p>
        </w:tc>
        <w:tc>
          <w:tcPr>
            <w:tcW w:w="778" w:type="dxa"/>
            <w:tcBorders>
              <w:top w:val="nil"/>
              <w:left w:val="nil"/>
              <w:bottom w:val="nil"/>
              <w:right w:val="nil"/>
            </w:tcBorders>
            <w:shd w:val="clear" w:color="auto" w:fill="auto"/>
            <w:noWrap/>
            <w:vAlign w:val="bottom"/>
            <w:hideMark/>
          </w:tcPr>
          <w:p w14:paraId="7A2AE940" w14:textId="77777777" w:rsidR="00A20361" w:rsidRPr="00DE6C9E" w:rsidRDefault="00A20361" w:rsidP="00DE6C9E">
            <w:pPr>
              <w:rPr>
                <w:sz w:val="20"/>
                <w:szCs w:val="20"/>
              </w:rPr>
            </w:pPr>
            <w:r w:rsidRPr="00DE6C9E">
              <w:rPr>
                <w:sz w:val="20"/>
                <w:szCs w:val="20"/>
              </w:rPr>
              <w:t>1.72%</w:t>
            </w:r>
          </w:p>
        </w:tc>
        <w:tc>
          <w:tcPr>
            <w:tcW w:w="662" w:type="dxa"/>
            <w:tcBorders>
              <w:top w:val="nil"/>
              <w:left w:val="nil"/>
              <w:bottom w:val="nil"/>
              <w:right w:val="nil"/>
            </w:tcBorders>
            <w:shd w:val="clear" w:color="auto" w:fill="auto"/>
            <w:noWrap/>
            <w:vAlign w:val="bottom"/>
            <w:hideMark/>
          </w:tcPr>
          <w:p w14:paraId="5B432DFD" w14:textId="00119D33" w:rsidR="00A20361" w:rsidRPr="00DE6C9E" w:rsidRDefault="00A20361" w:rsidP="00DE6C9E">
            <w:pPr>
              <w:rPr>
                <w:sz w:val="20"/>
                <w:szCs w:val="20"/>
              </w:rPr>
            </w:pPr>
            <w:r w:rsidRPr="00DE6C9E">
              <w:rPr>
                <w:sz w:val="20"/>
                <w:szCs w:val="20"/>
              </w:rPr>
              <w:t>235</w:t>
            </w:r>
            <w:r w:rsidR="00797780" w:rsidRPr="00DE6C9E">
              <w:rPr>
                <w:sz w:val="20"/>
                <w:szCs w:val="20"/>
              </w:rPr>
              <w:t>,</w:t>
            </w:r>
            <w:r w:rsidRPr="00DE6C9E">
              <w:rPr>
                <w:sz w:val="20"/>
                <w:szCs w:val="20"/>
              </w:rPr>
              <w:t>182</w:t>
            </w:r>
          </w:p>
        </w:tc>
        <w:tc>
          <w:tcPr>
            <w:tcW w:w="778" w:type="dxa"/>
            <w:tcBorders>
              <w:top w:val="nil"/>
              <w:left w:val="nil"/>
              <w:bottom w:val="nil"/>
              <w:right w:val="nil"/>
            </w:tcBorders>
            <w:shd w:val="clear" w:color="auto" w:fill="auto"/>
            <w:noWrap/>
            <w:vAlign w:val="bottom"/>
            <w:hideMark/>
          </w:tcPr>
          <w:p w14:paraId="3B4838EC" w14:textId="77777777" w:rsidR="00A20361" w:rsidRPr="00DE6C9E" w:rsidRDefault="00A20361" w:rsidP="00DE6C9E">
            <w:pPr>
              <w:rPr>
                <w:sz w:val="20"/>
                <w:szCs w:val="20"/>
              </w:rPr>
            </w:pPr>
            <w:r w:rsidRPr="00DE6C9E">
              <w:rPr>
                <w:sz w:val="20"/>
                <w:szCs w:val="20"/>
              </w:rPr>
              <w:t>71.66%</w:t>
            </w:r>
          </w:p>
        </w:tc>
        <w:tc>
          <w:tcPr>
            <w:tcW w:w="662" w:type="dxa"/>
            <w:tcBorders>
              <w:top w:val="nil"/>
              <w:left w:val="nil"/>
              <w:bottom w:val="nil"/>
              <w:right w:val="nil"/>
            </w:tcBorders>
            <w:shd w:val="clear" w:color="auto" w:fill="auto"/>
            <w:noWrap/>
            <w:vAlign w:val="bottom"/>
            <w:hideMark/>
          </w:tcPr>
          <w:p w14:paraId="5CBC92CB" w14:textId="6E4AB8AC" w:rsidR="00A20361" w:rsidRPr="00DE6C9E" w:rsidRDefault="00A20361" w:rsidP="00DE6C9E">
            <w:pPr>
              <w:rPr>
                <w:sz w:val="20"/>
                <w:szCs w:val="20"/>
              </w:rPr>
            </w:pPr>
            <w:r w:rsidRPr="00DE6C9E">
              <w:rPr>
                <w:sz w:val="20"/>
                <w:szCs w:val="20"/>
              </w:rPr>
              <w:t>244</w:t>
            </w:r>
            <w:r w:rsidR="00797780" w:rsidRPr="00DE6C9E">
              <w:rPr>
                <w:sz w:val="20"/>
                <w:szCs w:val="20"/>
              </w:rPr>
              <w:t>,</w:t>
            </w:r>
            <w:r w:rsidRPr="00DE6C9E">
              <w:rPr>
                <w:sz w:val="20"/>
                <w:szCs w:val="20"/>
              </w:rPr>
              <w:t>677</w:t>
            </w:r>
          </w:p>
        </w:tc>
        <w:tc>
          <w:tcPr>
            <w:tcW w:w="778" w:type="dxa"/>
            <w:tcBorders>
              <w:top w:val="nil"/>
              <w:left w:val="nil"/>
              <w:bottom w:val="nil"/>
              <w:right w:val="nil"/>
            </w:tcBorders>
            <w:shd w:val="clear" w:color="auto" w:fill="auto"/>
            <w:noWrap/>
            <w:vAlign w:val="bottom"/>
            <w:hideMark/>
          </w:tcPr>
          <w:p w14:paraId="49586683" w14:textId="77777777" w:rsidR="00A20361" w:rsidRPr="00DE6C9E" w:rsidRDefault="00A20361" w:rsidP="00DE6C9E">
            <w:pPr>
              <w:rPr>
                <w:sz w:val="20"/>
                <w:szCs w:val="20"/>
              </w:rPr>
            </w:pPr>
            <w:r w:rsidRPr="00DE6C9E">
              <w:rPr>
                <w:sz w:val="20"/>
                <w:szCs w:val="20"/>
              </w:rPr>
              <w:t>27.79%</w:t>
            </w:r>
          </w:p>
        </w:tc>
      </w:tr>
      <w:tr w:rsidR="00A20361" w:rsidRPr="00F42BA4" w14:paraId="1BD7B53E"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3E015A31" w14:textId="77777777" w:rsidR="00A20361" w:rsidRPr="00DE6C9E" w:rsidRDefault="00A20361" w:rsidP="0048210B">
            <w:pPr>
              <w:rPr>
                <w:sz w:val="20"/>
                <w:szCs w:val="20"/>
              </w:rPr>
            </w:pPr>
            <w:r w:rsidRPr="00DE6C9E">
              <w:rPr>
                <w:sz w:val="20"/>
                <w:szCs w:val="20"/>
              </w:rPr>
              <w:t>Sales</w:t>
            </w:r>
          </w:p>
        </w:tc>
        <w:tc>
          <w:tcPr>
            <w:tcW w:w="720" w:type="dxa"/>
            <w:tcBorders>
              <w:top w:val="nil"/>
              <w:left w:val="nil"/>
              <w:bottom w:val="nil"/>
              <w:right w:val="nil"/>
            </w:tcBorders>
            <w:shd w:val="clear" w:color="auto" w:fill="auto"/>
            <w:noWrap/>
            <w:vAlign w:val="bottom"/>
            <w:hideMark/>
          </w:tcPr>
          <w:p w14:paraId="54EDD793" w14:textId="77777777" w:rsidR="00A20361" w:rsidRPr="00DE6C9E" w:rsidRDefault="00A20361" w:rsidP="0048210B">
            <w:pPr>
              <w:rPr>
                <w:sz w:val="20"/>
                <w:szCs w:val="20"/>
              </w:rPr>
            </w:pPr>
            <w:r w:rsidRPr="00DE6C9E">
              <w:rPr>
                <w:sz w:val="20"/>
                <w:szCs w:val="20"/>
              </w:rPr>
              <w:t>General</w:t>
            </w:r>
          </w:p>
        </w:tc>
        <w:tc>
          <w:tcPr>
            <w:tcW w:w="662" w:type="dxa"/>
            <w:tcBorders>
              <w:top w:val="nil"/>
              <w:left w:val="nil"/>
              <w:bottom w:val="nil"/>
              <w:right w:val="nil"/>
            </w:tcBorders>
            <w:shd w:val="clear" w:color="auto" w:fill="auto"/>
            <w:noWrap/>
            <w:vAlign w:val="bottom"/>
            <w:hideMark/>
          </w:tcPr>
          <w:p w14:paraId="43741112" w14:textId="682EEC38" w:rsidR="00A20361" w:rsidRPr="00DE6C9E" w:rsidRDefault="00A20361" w:rsidP="00DE6C9E">
            <w:pPr>
              <w:rPr>
                <w:sz w:val="20"/>
                <w:szCs w:val="20"/>
              </w:rPr>
            </w:pPr>
            <w:r w:rsidRPr="00DE6C9E">
              <w:rPr>
                <w:sz w:val="20"/>
                <w:szCs w:val="20"/>
              </w:rPr>
              <w:t>180</w:t>
            </w:r>
            <w:r w:rsidR="00797780" w:rsidRPr="00DE6C9E">
              <w:rPr>
                <w:sz w:val="20"/>
                <w:szCs w:val="20"/>
              </w:rPr>
              <w:t>,</w:t>
            </w:r>
            <w:r w:rsidRPr="00DE6C9E">
              <w:rPr>
                <w:sz w:val="20"/>
                <w:szCs w:val="20"/>
              </w:rPr>
              <w:t>771</w:t>
            </w:r>
          </w:p>
        </w:tc>
        <w:tc>
          <w:tcPr>
            <w:tcW w:w="778" w:type="dxa"/>
            <w:tcBorders>
              <w:top w:val="nil"/>
              <w:left w:val="nil"/>
              <w:bottom w:val="nil"/>
              <w:right w:val="nil"/>
            </w:tcBorders>
            <w:shd w:val="clear" w:color="auto" w:fill="auto"/>
            <w:noWrap/>
            <w:vAlign w:val="bottom"/>
            <w:hideMark/>
          </w:tcPr>
          <w:p w14:paraId="56BFC43E" w14:textId="77777777" w:rsidR="00A20361" w:rsidRPr="00DE6C9E" w:rsidRDefault="00A20361" w:rsidP="00DE6C9E">
            <w:pPr>
              <w:rPr>
                <w:sz w:val="20"/>
                <w:szCs w:val="20"/>
              </w:rPr>
            </w:pPr>
            <w:r w:rsidRPr="00DE6C9E">
              <w:rPr>
                <w:sz w:val="20"/>
                <w:szCs w:val="20"/>
              </w:rPr>
              <w:t>32.74%</w:t>
            </w:r>
          </w:p>
        </w:tc>
        <w:tc>
          <w:tcPr>
            <w:tcW w:w="662" w:type="dxa"/>
            <w:tcBorders>
              <w:top w:val="nil"/>
              <w:left w:val="nil"/>
              <w:bottom w:val="nil"/>
              <w:right w:val="nil"/>
            </w:tcBorders>
            <w:shd w:val="clear" w:color="auto" w:fill="auto"/>
            <w:noWrap/>
            <w:vAlign w:val="bottom"/>
            <w:hideMark/>
          </w:tcPr>
          <w:p w14:paraId="15D85D29" w14:textId="3EC870AA" w:rsidR="00A20361" w:rsidRPr="00DE6C9E" w:rsidRDefault="00A20361" w:rsidP="00DE6C9E">
            <w:pPr>
              <w:rPr>
                <w:sz w:val="20"/>
                <w:szCs w:val="20"/>
              </w:rPr>
            </w:pPr>
            <w:r w:rsidRPr="00DE6C9E">
              <w:rPr>
                <w:sz w:val="20"/>
                <w:szCs w:val="20"/>
              </w:rPr>
              <w:t>41</w:t>
            </w:r>
            <w:r w:rsidR="00797780" w:rsidRPr="00DE6C9E">
              <w:rPr>
                <w:sz w:val="20"/>
                <w:szCs w:val="20"/>
              </w:rPr>
              <w:t>,</w:t>
            </w:r>
            <w:r w:rsidRPr="00DE6C9E">
              <w:rPr>
                <w:sz w:val="20"/>
                <w:szCs w:val="20"/>
              </w:rPr>
              <w:t>674</w:t>
            </w:r>
          </w:p>
        </w:tc>
        <w:tc>
          <w:tcPr>
            <w:tcW w:w="778" w:type="dxa"/>
            <w:tcBorders>
              <w:top w:val="nil"/>
              <w:left w:val="nil"/>
              <w:bottom w:val="nil"/>
              <w:right w:val="nil"/>
            </w:tcBorders>
            <w:shd w:val="clear" w:color="auto" w:fill="auto"/>
            <w:noWrap/>
            <w:vAlign w:val="bottom"/>
            <w:hideMark/>
          </w:tcPr>
          <w:p w14:paraId="287AB12F" w14:textId="77777777" w:rsidR="00A20361" w:rsidRPr="00DE6C9E" w:rsidRDefault="00A20361" w:rsidP="00DE6C9E">
            <w:pPr>
              <w:rPr>
                <w:sz w:val="20"/>
                <w:szCs w:val="20"/>
              </w:rPr>
            </w:pPr>
            <w:r w:rsidRPr="00DE6C9E">
              <w:rPr>
                <w:sz w:val="20"/>
                <w:szCs w:val="20"/>
              </w:rPr>
              <w:t>12.70%</w:t>
            </w:r>
          </w:p>
        </w:tc>
        <w:tc>
          <w:tcPr>
            <w:tcW w:w="662" w:type="dxa"/>
            <w:tcBorders>
              <w:top w:val="nil"/>
              <w:left w:val="nil"/>
              <w:bottom w:val="nil"/>
              <w:right w:val="nil"/>
            </w:tcBorders>
            <w:shd w:val="clear" w:color="auto" w:fill="auto"/>
            <w:noWrap/>
            <w:vAlign w:val="bottom"/>
            <w:hideMark/>
          </w:tcPr>
          <w:p w14:paraId="05EC0FE6" w14:textId="439B7F97" w:rsidR="00A20361" w:rsidRPr="00DE6C9E" w:rsidRDefault="00A20361" w:rsidP="00DE6C9E">
            <w:pPr>
              <w:rPr>
                <w:sz w:val="20"/>
                <w:szCs w:val="20"/>
              </w:rPr>
            </w:pPr>
            <w:r w:rsidRPr="00DE6C9E">
              <w:rPr>
                <w:sz w:val="20"/>
                <w:szCs w:val="20"/>
              </w:rPr>
              <w:t>222</w:t>
            </w:r>
            <w:r w:rsidR="00797780" w:rsidRPr="00DE6C9E">
              <w:rPr>
                <w:sz w:val="20"/>
                <w:szCs w:val="20"/>
              </w:rPr>
              <w:t>,</w:t>
            </w:r>
            <w:r w:rsidRPr="00DE6C9E">
              <w:rPr>
                <w:sz w:val="20"/>
                <w:szCs w:val="20"/>
              </w:rPr>
              <w:t>445</w:t>
            </w:r>
          </w:p>
        </w:tc>
        <w:tc>
          <w:tcPr>
            <w:tcW w:w="778" w:type="dxa"/>
            <w:tcBorders>
              <w:top w:val="nil"/>
              <w:left w:val="nil"/>
              <w:bottom w:val="nil"/>
              <w:right w:val="nil"/>
            </w:tcBorders>
            <w:shd w:val="clear" w:color="auto" w:fill="auto"/>
            <w:noWrap/>
            <w:vAlign w:val="bottom"/>
            <w:hideMark/>
          </w:tcPr>
          <w:p w14:paraId="4C2AAA65" w14:textId="77777777" w:rsidR="00A20361" w:rsidRPr="00DE6C9E" w:rsidRDefault="00A20361" w:rsidP="00DE6C9E">
            <w:pPr>
              <w:rPr>
                <w:sz w:val="20"/>
                <w:szCs w:val="20"/>
              </w:rPr>
            </w:pPr>
            <w:r w:rsidRPr="00DE6C9E">
              <w:rPr>
                <w:sz w:val="20"/>
                <w:szCs w:val="20"/>
              </w:rPr>
              <w:t>25.27%</w:t>
            </w:r>
          </w:p>
        </w:tc>
      </w:tr>
      <w:tr w:rsidR="00A20361" w:rsidRPr="00F42BA4" w14:paraId="5EF81221"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3D50C91D" w14:textId="77777777" w:rsidR="00A20361" w:rsidRPr="00DE6C9E" w:rsidRDefault="00A20361" w:rsidP="0048210B">
            <w:pPr>
              <w:jc w:val="right"/>
              <w:rPr>
                <w:sz w:val="20"/>
                <w:szCs w:val="20"/>
              </w:rPr>
            </w:pPr>
          </w:p>
        </w:tc>
        <w:tc>
          <w:tcPr>
            <w:tcW w:w="720" w:type="dxa"/>
            <w:tcBorders>
              <w:top w:val="nil"/>
              <w:left w:val="nil"/>
              <w:bottom w:val="nil"/>
              <w:right w:val="nil"/>
            </w:tcBorders>
            <w:shd w:val="clear" w:color="auto" w:fill="auto"/>
            <w:noWrap/>
            <w:vAlign w:val="bottom"/>
            <w:hideMark/>
          </w:tcPr>
          <w:p w14:paraId="5F404336" w14:textId="77777777" w:rsidR="00A20361" w:rsidRPr="00DE6C9E" w:rsidRDefault="00A20361" w:rsidP="0048210B">
            <w:pPr>
              <w:rPr>
                <w:sz w:val="20"/>
                <w:szCs w:val="20"/>
              </w:rPr>
            </w:pPr>
            <w:r w:rsidRPr="00DE6C9E">
              <w:rPr>
                <w:sz w:val="20"/>
                <w:szCs w:val="20"/>
              </w:rPr>
              <w:t>Motor fuels</w:t>
            </w:r>
          </w:p>
        </w:tc>
        <w:tc>
          <w:tcPr>
            <w:tcW w:w="662" w:type="dxa"/>
            <w:tcBorders>
              <w:top w:val="nil"/>
              <w:left w:val="nil"/>
              <w:bottom w:val="nil"/>
              <w:right w:val="nil"/>
            </w:tcBorders>
            <w:shd w:val="clear" w:color="auto" w:fill="auto"/>
            <w:noWrap/>
            <w:vAlign w:val="bottom"/>
            <w:hideMark/>
          </w:tcPr>
          <w:p w14:paraId="3F5F5B1D" w14:textId="6B2913BB" w:rsidR="00A20361" w:rsidRPr="00DE6C9E" w:rsidRDefault="00A20361" w:rsidP="00DE6C9E">
            <w:pPr>
              <w:rPr>
                <w:sz w:val="20"/>
                <w:szCs w:val="20"/>
              </w:rPr>
            </w:pPr>
            <w:r w:rsidRPr="00DE6C9E">
              <w:rPr>
                <w:sz w:val="20"/>
                <w:szCs w:val="20"/>
              </w:rPr>
              <w:t>29</w:t>
            </w:r>
            <w:r w:rsidR="00797780" w:rsidRPr="00DE6C9E">
              <w:rPr>
                <w:sz w:val="20"/>
                <w:szCs w:val="20"/>
              </w:rPr>
              <w:t>,</w:t>
            </w:r>
            <w:r w:rsidRPr="00DE6C9E">
              <w:rPr>
                <w:sz w:val="20"/>
                <w:szCs w:val="20"/>
              </w:rPr>
              <w:t>874</w:t>
            </w:r>
          </w:p>
        </w:tc>
        <w:tc>
          <w:tcPr>
            <w:tcW w:w="778" w:type="dxa"/>
            <w:tcBorders>
              <w:top w:val="nil"/>
              <w:left w:val="nil"/>
              <w:bottom w:val="nil"/>
              <w:right w:val="nil"/>
            </w:tcBorders>
            <w:shd w:val="clear" w:color="auto" w:fill="auto"/>
            <w:noWrap/>
            <w:vAlign w:val="bottom"/>
            <w:hideMark/>
          </w:tcPr>
          <w:p w14:paraId="483741F9" w14:textId="77777777" w:rsidR="00A20361" w:rsidRPr="00DE6C9E" w:rsidRDefault="00A20361" w:rsidP="00DE6C9E">
            <w:pPr>
              <w:rPr>
                <w:sz w:val="20"/>
                <w:szCs w:val="20"/>
              </w:rPr>
            </w:pPr>
            <w:r w:rsidRPr="00DE6C9E">
              <w:rPr>
                <w:sz w:val="20"/>
                <w:szCs w:val="20"/>
              </w:rPr>
              <w:t>5.41%</w:t>
            </w:r>
          </w:p>
        </w:tc>
        <w:tc>
          <w:tcPr>
            <w:tcW w:w="662" w:type="dxa"/>
            <w:tcBorders>
              <w:top w:val="nil"/>
              <w:left w:val="nil"/>
              <w:bottom w:val="nil"/>
              <w:right w:val="nil"/>
            </w:tcBorders>
            <w:shd w:val="clear" w:color="auto" w:fill="auto"/>
            <w:noWrap/>
            <w:vAlign w:val="bottom"/>
            <w:hideMark/>
          </w:tcPr>
          <w:p w14:paraId="0AEAD084" w14:textId="77777777" w:rsidR="00A20361" w:rsidRPr="00DE6C9E" w:rsidRDefault="00A20361" w:rsidP="00DE6C9E">
            <w:pPr>
              <w:rPr>
                <w:sz w:val="20"/>
                <w:szCs w:val="20"/>
              </w:rPr>
            </w:pPr>
            <w:r w:rsidRPr="00DE6C9E">
              <w:rPr>
                <w:sz w:val="20"/>
                <w:szCs w:val="20"/>
              </w:rPr>
              <w:t>904</w:t>
            </w:r>
          </w:p>
        </w:tc>
        <w:tc>
          <w:tcPr>
            <w:tcW w:w="778" w:type="dxa"/>
            <w:tcBorders>
              <w:top w:val="nil"/>
              <w:left w:val="nil"/>
              <w:bottom w:val="nil"/>
              <w:right w:val="nil"/>
            </w:tcBorders>
            <w:shd w:val="clear" w:color="auto" w:fill="auto"/>
            <w:noWrap/>
            <w:vAlign w:val="bottom"/>
            <w:hideMark/>
          </w:tcPr>
          <w:p w14:paraId="6D4E105F" w14:textId="77777777" w:rsidR="00A20361" w:rsidRPr="00DE6C9E" w:rsidRDefault="00A20361" w:rsidP="00DE6C9E">
            <w:pPr>
              <w:rPr>
                <w:sz w:val="20"/>
                <w:szCs w:val="20"/>
              </w:rPr>
            </w:pPr>
            <w:r w:rsidRPr="00DE6C9E">
              <w:rPr>
                <w:sz w:val="20"/>
                <w:szCs w:val="20"/>
              </w:rPr>
              <w:t>0.28%</w:t>
            </w:r>
          </w:p>
        </w:tc>
        <w:tc>
          <w:tcPr>
            <w:tcW w:w="662" w:type="dxa"/>
            <w:tcBorders>
              <w:top w:val="nil"/>
              <w:left w:val="nil"/>
              <w:bottom w:val="nil"/>
              <w:right w:val="nil"/>
            </w:tcBorders>
            <w:shd w:val="clear" w:color="auto" w:fill="auto"/>
            <w:noWrap/>
            <w:vAlign w:val="bottom"/>
            <w:hideMark/>
          </w:tcPr>
          <w:p w14:paraId="66D70418" w14:textId="3F7AAD48" w:rsidR="00A20361" w:rsidRPr="00DE6C9E" w:rsidRDefault="00A20361" w:rsidP="00DE6C9E">
            <w:pPr>
              <w:rPr>
                <w:sz w:val="20"/>
                <w:szCs w:val="20"/>
              </w:rPr>
            </w:pPr>
            <w:r w:rsidRPr="00DE6C9E">
              <w:rPr>
                <w:sz w:val="20"/>
                <w:szCs w:val="20"/>
              </w:rPr>
              <w:t>30</w:t>
            </w:r>
            <w:r w:rsidR="00797780" w:rsidRPr="00DE6C9E">
              <w:rPr>
                <w:sz w:val="20"/>
                <w:szCs w:val="20"/>
              </w:rPr>
              <w:t>,</w:t>
            </w:r>
            <w:r w:rsidRPr="00DE6C9E">
              <w:rPr>
                <w:sz w:val="20"/>
                <w:szCs w:val="20"/>
              </w:rPr>
              <w:t>778</w:t>
            </w:r>
          </w:p>
        </w:tc>
        <w:tc>
          <w:tcPr>
            <w:tcW w:w="778" w:type="dxa"/>
            <w:tcBorders>
              <w:top w:val="nil"/>
              <w:left w:val="nil"/>
              <w:bottom w:val="nil"/>
              <w:right w:val="nil"/>
            </w:tcBorders>
            <w:shd w:val="clear" w:color="auto" w:fill="auto"/>
            <w:noWrap/>
            <w:vAlign w:val="bottom"/>
            <w:hideMark/>
          </w:tcPr>
          <w:p w14:paraId="61C50906" w14:textId="77777777" w:rsidR="00A20361" w:rsidRPr="00DE6C9E" w:rsidRDefault="00A20361" w:rsidP="00DE6C9E">
            <w:pPr>
              <w:rPr>
                <w:sz w:val="20"/>
                <w:szCs w:val="20"/>
              </w:rPr>
            </w:pPr>
            <w:r w:rsidRPr="00DE6C9E">
              <w:rPr>
                <w:sz w:val="20"/>
                <w:szCs w:val="20"/>
              </w:rPr>
              <w:t>3.50%</w:t>
            </w:r>
          </w:p>
        </w:tc>
      </w:tr>
      <w:tr w:rsidR="00A20361" w:rsidRPr="00F42BA4" w14:paraId="6B6B8750"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6DDC6BDB" w14:textId="77777777" w:rsidR="00A20361" w:rsidRPr="00DE6C9E" w:rsidRDefault="00A20361" w:rsidP="0048210B">
            <w:pPr>
              <w:jc w:val="right"/>
              <w:rPr>
                <w:sz w:val="20"/>
                <w:szCs w:val="20"/>
              </w:rPr>
            </w:pPr>
          </w:p>
        </w:tc>
        <w:tc>
          <w:tcPr>
            <w:tcW w:w="720" w:type="dxa"/>
            <w:tcBorders>
              <w:top w:val="nil"/>
              <w:left w:val="nil"/>
              <w:bottom w:val="nil"/>
              <w:right w:val="nil"/>
            </w:tcBorders>
            <w:shd w:val="clear" w:color="auto" w:fill="auto"/>
            <w:noWrap/>
            <w:vAlign w:val="bottom"/>
            <w:hideMark/>
          </w:tcPr>
          <w:p w14:paraId="3C2291AB" w14:textId="77777777" w:rsidR="00A20361" w:rsidRPr="00DE6C9E" w:rsidRDefault="00A20361" w:rsidP="0048210B">
            <w:pPr>
              <w:rPr>
                <w:sz w:val="20"/>
                <w:szCs w:val="20"/>
              </w:rPr>
            </w:pPr>
            <w:r w:rsidRPr="00DE6C9E">
              <w:rPr>
                <w:sz w:val="20"/>
                <w:szCs w:val="20"/>
              </w:rPr>
              <w:t>Tobacco</w:t>
            </w:r>
          </w:p>
        </w:tc>
        <w:tc>
          <w:tcPr>
            <w:tcW w:w="662" w:type="dxa"/>
            <w:tcBorders>
              <w:top w:val="nil"/>
              <w:left w:val="nil"/>
              <w:bottom w:val="nil"/>
              <w:right w:val="nil"/>
            </w:tcBorders>
            <w:shd w:val="clear" w:color="auto" w:fill="auto"/>
            <w:noWrap/>
            <w:vAlign w:val="bottom"/>
            <w:hideMark/>
          </w:tcPr>
          <w:p w14:paraId="153B102F" w14:textId="21E6E2A6" w:rsidR="00A20361" w:rsidRPr="00DE6C9E" w:rsidRDefault="00A20361" w:rsidP="00DE6C9E">
            <w:pPr>
              <w:rPr>
                <w:sz w:val="20"/>
                <w:szCs w:val="20"/>
              </w:rPr>
            </w:pPr>
            <w:r w:rsidRPr="00DE6C9E">
              <w:rPr>
                <w:sz w:val="20"/>
                <w:szCs w:val="20"/>
              </w:rPr>
              <w:t>8</w:t>
            </w:r>
            <w:r w:rsidR="00797780" w:rsidRPr="00DE6C9E">
              <w:rPr>
                <w:sz w:val="20"/>
                <w:szCs w:val="20"/>
              </w:rPr>
              <w:t>,</w:t>
            </w:r>
            <w:r w:rsidRPr="00DE6C9E">
              <w:rPr>
                <w:sz w:val="20"/>
                <w:szCs w:val="20"/>
              </w:rPr>
              <w:t>005</w:t>
            </w:r>
          </w:p>
        </w:tc>
        <w:tc>
          <w:tcPr>
            <w:tcW w:w="778" w:type="dxa"/>
            <w:tcBorders>
              <w:top w:val="nil"/>
              <w:left w:val="nil"/>
              <w:bottom w:val="nil"/>
              <w:right w:val="nil"/>
            </w:tcBorders>
            <w:shd w:val="clear" w:color="auto" w:fill="auto"/>
            <w:noWrap/>
            <w:vAlign w:val="bottom"/>
            <w:hideMark/>
          </w:tcPr>
          <w:p w14:paraId="15E8A45B" w14:textId="77777777" w:rsidR="00A20361" w:rsidRPr="00DE6C9E" w:rsidRDefault="00A20361" w:rsidP="00DE6C9E">
            <w:pPr>
              <w:rPr>
                <w:sz w:val="20"/>
                <w:szCs w:val="20"/>
              </w:rPr>
            </w:pPr>
            <w:r w:rsidRPr="00DE6C9E">
              <w:rPr>
                <w:sz w:val="20"/>
                <w:szCs w:val="20"/>
              </w:rPr>
              <w:t>1.45%</w:t>
            </w:r>
          </w:p>
        </w:tc>
        <w:tc>
          <w:tcPr>
            <w:tcW w:w="662" w:type="dxa"/>
            <w:tcBorders>
              <w:top w:val="nil"/>
              <w:left w:val="nil"/>
              <w:bottom w:val="nil"/>
              <w:right w:val="nil"/>
            </w:tcBorders>
            <w:shd w:val="clear" w:color="auto" w:fill="auto"/>
            <w:noWrap/>
            <w:vAlign w:val="bottom"/>
            <w:hideMark/>
          </w:tcPr>
          <w:p w14:paraId="18F60343" w14:textId="77777777" w:rsidR="00A20361" w:rsidRPr="00DE6C9E" w:rsidRDefault="00A20361" w:rsidP="00DE6C9E">
            <w:pPr>
              <w:rPr>
                <w:sz w:val="20"/>
                <w:szCs w:val="20"/>
              </w:rPr>
            </w:pPr>
            <w:r w:rsidRPr="00DE6C9E">
              <w:rPr>
                <w:sz w:val="20"/>
                <w:szCs w:val="20"/>
              </w:rPr>
              <w:t>196</w:t>
            </w:r>
          </w:p>
        </w:tc>
        <w:tc>
          <w:tcPr>
            <w:tcW w:w="778" w:type="dxa"/>
            <w:tcBorders>
              <w:top w:val="nil"/>
              <w:left w:val="nil"/>
              <w:bottom w:val="nil"/>
              <w:right w:val="nil"/>
            </w:tcBorders>
            <w:shd w:val="clear" w:color="auto" w:fill="auto"/>
            <w:noWrap/>
            <w:vAlign w:val="bottom"/>
            <w:hideMark/>
          </w:tcPr>
          <w:p w14:paraId="30E7F0C4" w14:textId="77777777" w:rsidR="00A20361" w:rsidRPr="00DE6C9E" w:rsidRDefault="00A20361" w:rsidP="00DE6C9E">
            <w:pPr>
              <w:rPr>
                <w:sz w:val="20"/>
                <w:szCs w:val="20"/>
              </w:rPr>
            </w:pPr>
            <w:r w:rsidRPr="00DE6C9E">
              <w:rPr>
                <w:sz w:val="20"/>
                <w:szCs w:val="20"/>
              </w:rPr>
              <w:t>0.06%</w:t>
            </w:r>
          </w:p>
        </w:tc>
        <w:tc>
          <w:tcPr>
            <w:tcW w:w="662" w:type="dxa"/>
            <w:tcBorders>
              <w:top w:val="nil"/>
              <w:left w:val="nil"/>
              <w:bottom w:val="nil"/>
              <w:right w:val="nil"/>
            </w:tcBorders>
            <w:shd w:val="clear" w:color="auto" w:fill="auto"/>
            <w:noWrap/>
            <w:vAlign w:val="bottom"/>
            <w:hideMark/>
          </w:tcPr>
          <w:p w14:paraId="4D0C575C" w14:textId="60566C6F" w:rsidR="00A20361" w:rsidRPr="00DE6C9E" w:rsidRDefault="00A20361" w:rsidP="00DE6C9E">
            <w:pPr>
              <w:rPr>
                <w:sz w:val="20"/>
                <w:szCs w:val="20"/>
              </w:rPr>
            </w:pPr>
            <w:r w:rsidRPr="00DE6C9E">
              <w:rPr>
                <w:sz w:val="20"/>
                <w:szCs w:val="20"/>
              </w:rPr>
              <w:t>8</w:t>
            </w:r>
            <w:r w:rsidR="00797780" w:rsidRPr="00DE6C9E">
              <w:rPr>
                <w:sz w:val="20"/>
                <w:szCs w:val="20"/>
              </w:rPr>
              <w:t>,</w:t>
            </w:r>
            <w:r w:rsidRPr="00DE6C9E">
              <w:rPr>
                <w:sz w:val="20"/>
                <w:szCs w:val="20"/>
              </w:rPr>
              <w:t>201</w:t>
            </w:r>
          </w:p>
        </w:tc>
        <w:tc>
          <w:tcPr>
            <w:tcW w:w="778" w:type="dxa"/>
            <w:tcBorders>
              <w:top w:val="nil"/>
              <w:left w:val="nil"/>
              <w:bottom w:val="nil"/>
              <w:right w:val="nil"/>
            </w:tcBorders>
            <w:shd w:val="clear" w:color="auto" w:fill="auto"/>
            <w:noWrap/>
            <w:vAlign w:val="bottom"/>
            <w:hideMark/>
          </w:tcPr>
          <w:p w14:paraId="6D803B30" w14:textId="77777777" w:rsidR="00A20361" w:rsidRPr="00DE6C9E" w:rsidRDefault="00A20361" w:rsidP="00DE6C9E">
            <w:pPr>
              <w:rPr>
                <w:sz w:val="20"/>
                <w:szCs w:val="20"/>
              </w:rPr>
            </w:pPr>
            <w:r w:rsidRPr="00DE6C9E">
              <w:rPr>
                <w:sz w:val="20"/>
                <w:szCs w:val="20"/>
              </w:rPr>
              <w:t>0.93%</w:t>
            </w:r>
          </w:p>
        </w:tc>
      </w:tr>
      <w:tr w:rsidR="00A20361" w:rsidRPr="00F42BA4" w14:paraId="7A51BEC8"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1732F10A" w14:textId="77777777" w:rsidR="00A20361" w:rsidRPr="00DE6C9E" w:rsidRDefault="00A20361" w:rsidP="0048210B">
            <w:pPr>
              <w:jc w:val="right"/>
              <w:rPr>
                <w:sz w:val="20"/>
                <w:szCs w:val="20"/>
              </w:rPr>
            </w:pPr>
          </w:p>
        </w:tc>
        <w:tc>
          <w:tcPr>
            <w:tcW w:w="720" w:type="dxa"/>
            <w:tcBorders>
              <w:top w:val="nil"/>
              <w:left w:val="nil"/>
              <w:bottom w:val="nil"/>
              <w:right w:val="nil"/>
            </w:tcBorders>
            <w:shd w:val="clear" w:color="auto" w:fill="auto"/>
            <w:noWrap/>
            <w:vAlign w:val="bottom"/>
            <w:hideMark/>
          </w:tcPr>
          <w:p w14:paraId="1855D28B" w14:textId="77777777" w:rsidR="00A20361" w:rsidRPr="00DE6C9E" w:rsidRDefault="00A20361" w:rsidP="0048210B">
            <w:pPr>
              <w:rPr>
                <w:sz w:val="20"/>
                <w:szCs w:val="20"/>
              </w:rPr>
            </w:pPr>
            <w:r w:rsidRPr="00DE6C9E">
              <w:rPr>
                <w:sz w:val="20"/>
                <w:szCs w:val="20"/>
              </w:rPr>
              <w:t>Alcohol</w:t>
            </w:r>
          </w:p>
        </w:tc>
        <w:tc>
          <w:tcPr>
            <w:tcW w:w="662" w:type="dxa"/>
            <w:tcBorders>
              <w:top w:val="nil"/>
              <w:left w:val="nil"/>
              <w:bottom w:val="nil"/>
              <w:right w:val="nil"/>
            </w:tcBorders>
            <w:shd w:val="clear" w:color="auto" w:fill="auto"/>
            <w:noWrap/>
            <w:vAlign w:val="bottom"/>
            <w:hideMark/>
          </w:tcPr>
          <w:p w14:paraId="2F7AE408" w14:textId="3191BB92" w:rsidR="00A20361" w:rsidRPr="00DE6C9E" w:rsidRDefault="00A20361" w:rsidP="00DE6C9E">
            <w:pPr>
              <w:rPr>
                <w:sz w:val="20"/>
                <w:szCs w:val="20"/>
              </w:rPr>
            </w:pPr>
            <w:r w:rsidRPr="00DE6C9E">
              <w:rPr>
                <w:sz w:val="20"/>
                <w:szCs w:val="20"/>
              </w:rPr>
              <w:t>4</w:t>
            </w:r>
            <w:r w:rsidR="00797780" w:rsidRPr="00DE6C9E">
              <w:rPr>
                <w:sz w:val="20"/>
                <w:szCs w:val="20"/>
              </w:rPr>
              <w:t>,</w:t>
            </w:r>
            <w:r w:rsidRPr="00DE6C9E">
              <w:rPr>
                <w:sz w:val="20"/>
                <w:szCs w:val="20"/>
              </w:rPr>
              <w:t>101</w:t>
            </w:r>
          </w:p>
        </w:tc>
        <w:tc>
          <w:tcPr>
            <w:tcW w:w="778" w:type="dxa"/>
            <w:tcBorders>
              <w:top w:val="nil"/>
              <w:left w:val="nil"/>
              <w:bottom w:val="nil"/>
              <w:right w:val="nil"/>
            </w:tcBorders>
            <w:shd w:val="clear" w:color="auto" w:fill="auto"/>
            <w:noWrap/>
            <w:vAlign w:val="bottom"/>
            <w:hideMark/>
          </w:tcPr>
          <w:p w14:paraId="188ACFF7" w14:textId="77777777" w:rsidR="00A20361" w:rsidRPr="00DE6C9E" w:rsidRDefault="00A20361" w:rsidP="00DE6C9E">
            <w:pPr>
              <w:rPr>
                <w:sz w:val="20"/>
                <w:szCs w:val="20"/>
              </w:rPr>
            </w:pPr>
            <w:r w:rsidRPr="00DE6C9E">
              <w:rPr>
                <w:sz w:val="20"/>
                <w:szCs w:val="20"/>
              </w:rPr>
              <w:t>0.74%</w:t>
            </w:r>
          </w:p>
        </w:tc>
        <w:tc>
          <w:tcPr>
            <w:tcW w:w="662" w:type="dxa"/>
            <w:tcBorders>
              <w:top w:val="nil"/>
              <w:left w:val="nil"/>
              <w:bottom w:val="nil"/>
              <w:right w:val="nil"/>
            </w:tcBorders>
            <w:shd w:val="clear" w:color="auto" w:fill="auto"/>
            <w:noWrap/>
            <w:vAlign w:val="bottom"/>
            <w:hideMark/>
          </w:tcPr>
          <w:p w14:paraId="2058EE08" w14:textId="77777777" w:rsidR="00A20361" w:rsidRPr="00DE6C9E" w:rsidRDefault="00A20361" w:rsidP="00DE6C9E">
            <w:pPr>
              <w:rPr>
                <w:sz w:val="20"/>
                <w:szCs w:val="20"/>
              </w:rPr>
            </w:pPr>
            <w:r w:rsidRPr="00DE6C9E">
              <w:rPr>
                <w:sz w:val="20"/>
                <w:szCs w:val="20"/>
              </w:rPr>
              <w:t>284</w:t>
            </w:r>
          </w:p>
        </w:tc>
        <w:tc>
          <w:tcPr>
            <w:tcW w:w="778" w:type="dxa"/>
            <w:tcBorders>
              <w:top w:val="nil"/>
              <w:left w:val="nil"/>
              <w:bottom w:val="nil"/>
              <w:right w:val="nil"/>
            </w:tcBorders>
            <w:shd w:val="clear" w:color="auto" w:fill="auto"/>
            <w:noWrap/>
            <w:vAlign w:val="bottom"/>
            <w:hideMark/>
          </w:tcPr>
          <w:p w14:paraId="0EB05E55" w14:textId="77777777" w:rsidR="00A20361" w:rsidRPr="00DE6C9E" w:rsidRDefault="00A20361" w:rsidP="00DE6C9E">
            <w:pPr>
              <w:rPr>
                <w:sz w:val="20"/>
                <w:szCs w:val="20"/>
              </w:rPr>
            </w:pPr>
            <w:r w:rsidRPr="00DE6C9E">
              <w:rPr>
                <w:sz w:val="20"/>
                <w:szCs w:val="20"/>
              </w:rPr>
              <w:t>0.09%</w:t>
            </w:r>
          </w:p>
        </w:tc>
        <w:tc>
          <w:tcPr>
            <w:tcW w:w="662" w:type="dxa"/>
            <w:tcBorders>
              <w:top w:val="nil"/>
              <w:left w:val="nil"/>
              <w:bottom w:val="nil"/>
              <w:right w:val="nil"/>
            </w:tcBorders>
            <w:shd w:val="clear" w:color="auto" w:fill="auto"/>
            <w:noWrap/>
            <w:vAlign w:val="bottom"/>
            <w:hideMark/>
          </w:tcPr>
          <w:p w14:paraId="1F1FA9EA" w14:textId="6E8AD0E3" w:rsidR="00A20361" w:rsidRPr="00DE6C9E" w:rsidRDefault="00A20361" w:rsidP="00DE6C9E">
            <w:pPr>
              <w:rPr>
                <w:sz w:val="20"/>
                <w:szCs w:val="20"/>
              </w:rPr>
            </w:pPr>
            <w:r w:rsidRPr="00DE6C9E">
              <w:rPr>
                <w:sz w:val="20"/>
                <w:szCs w:val="20"/>
              </w:rPr>
              <w:t>4</w:t>
            </w:r>
            <w:r w:rsidR="00797780" w:rsidRPr="00DE6C9E">
              <w:rPr>
                <w:sz w:val="20"/>
                <w:szCs w:val="20"/>
              </w:rPr>
              <w:t>,</w:t>
            </w:r>
            <w:r w:rsidRPr="00DE6C9E">
              <w:rPr>
                <w:sz w:val="20"/>
                <w:szCs w:val="20"/>
              </w:rPr>
              <w:t>385</w:t>
            </w:r>
          </w:p>
        </w:tc>
        <w:tc>
          <w:tcPr>
            <w:tcW w:w="778" w:type="dxa"/>
            <w:tcBorders>
              <w:top w:val="nil"/>
              <w:left w:val="nil"/>
              <w:bottom w:val="nil"/>
              <w:right w:val="nil"/>
            </w:tcBorders>
            <w:shd w:val="clear" w:color="auto" w:fill="auto"/>
            <w:noWrap/>
            <w:vAlign w:val="bottom"/>
            <w:hideMark/>
          </w:tcPr>
          <w:p w14:paraId="1CC630FB" w14:textId="77777777" w:rsidR="00A20361" w:rsidRPr="00DE6C9E" w:rsidRDefault="00A20361" w:rsidP="00DE6C9E">
            <w:pPr>
              <w:rPr>
                <w:sz w:val="20"/>
                <w:szCs w:val="20"/>
              </w:rPr>
            </w:pPr>
            <w:r w:rsidRPr="00DE6C9E">
              <w:rPr>
                <w:sz w:val="20"/>
                <w:szCs w:val="20"/>
              </w:rPr>
              <w:t>0.50%</w:t>
            </w:r>
          </w:p>
        </w:tc>
      </w:tr>
      <w:tr w:rsidR="00A20361" w:rsidRPr="00F42BA4" w14:paraId="18FE9486"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2D11084D" w14:textId="73F4C1FF" w:rsidR="00A20361" w:rsidRPr="00DE6C9E" w:rsidRDefault="00A20361" w:rsidP="0048210B">
            <w:pPr>
              <w:rPr>
                <w:sz w:val="20"/>
                <w:szCs w:val="20"/>
              </w:rPr>
            </w:pPr>
            <w:r w:rsidRPr="00DE6C9E">
              <w:rPr>
                <w:sz w:val="20"/>
                <w:szCs w:val="20"/>
              </w:rPr>
              <w:t>M</w:t>
            </w:r>
            <w:r w:rsidR="00797780" w:rsidRPr="00DE6C9E">
              <w:rPr>
                <w:sz w:val="20"/>
                <w:szCs w:val="20"/>
              </w:rPr>
              <w:t>otor Vehicle</w:t>
            </w:r>
            <w:r w:rsidRPr="00DE6C9E">
              <w:rPr>
                <w:sz w:val="20"/>
                <w:szCs w:val="20"/>
              </w:rPr>
              <w:t xml:space="preserve"> operator's license</w:t>
            </w:r>
          </w:p>
        </w:tc>
        <w:tc>
          <w:tcPr>
            <w:tcW w:w="720" w:type="dxa"/>
            <w:tcBorders>
              <w:top w:val="nil"/>
              <w:left w:val="nil"/>
              <w:bottom w:val="nil"/>
              <w:right w:val="nil"/>
            </w:tcBorders>
            <w:shd w:val="clear" w:color="auto" w:fill="auto"/>
            <w:noWrap/>
            <w:vAlign w:val="bottom"/>
            <w:hideMark/>
          </w:tcPr>
          <w:p w14:paraId="01783F61" w14:textId="77777777" w:rsidR="00A20361" w:rsidRPr="00DE6C9E" w:rsidRDefault="00A20361" w:rsidP="0048210B">
            <w:pPr>
              <w:rPr>
                <w:sz w:val="20"/>
                <w:szCs w:val="20"/>
              </w:rPr>
            </w:pPr>
          </w:p>
        </w:tc>
        <w:tc>
          <w:tcPr>
            <w:tcW w:w="662" w:type="dxa"/>
            <w:tcBorders>
              <w:top w:val="nil"/>
              <w:left w:val="nil"/>
              <w:bottom w:val="nil"/>
              <w:right w:val="nil"/>
            </w:tcBorders>
            <w:shd w:val="clear" w:color="auto" w:fill="auto"/>
            <w:noWrap/>
            <w:vAlign w:val="bottom"/>
            <w:hideMark/>
          </w:tcPr>
          <w:p w14:paraId="7D2411B3" w14:textId="3ED58B88" w:rsidR="00A20361" w:rsidRPr="00DE6C9E" w:rsidRDefault="00A20361" w:rsidP="00DE6C9E">
            <w:pPr>
              <w:rPr>
                <w:sz w:val="20"/>
                <w:szCs w:val="20"/>
              </w:rPr>
            </w:pPr>
            <w:r w:rsidRPr="00DE6C9E">
              <w:rPr>
                <w:sz w:val="20"/>
                <w:szCs w:val="20"/>
              </w:rPr>
              <w:t>16</w:t>
            </w:r>
            <w:r w:rsidR="00797780" w:rsidRPr="00DE6C9E">
              <w:rPr>
                <w:sz w:val="20"/>
                <w:szCs w:val="20"/>
              </w:rPr>
              <w:t>,</w:t>
            </w:r>
            <w:r w:rsidRPr="00DE6C9E">
              <w:rPr>
                <w:sz w:val="20"/>
                <w:szCs w:val="20"/>
              </w:rPr>
              <w:t>122</w:t>
            </w:r>
          </w:p>
        </w:tc>
        <w:tc>
          <w:tcPr>
            <w:tcW w:w="778" w:type="dxa"/>
            <w:tcBorders>
              <w:top w:val="nil"/>
              <w:left w:val="nil"/>
              <w:bottom w:val="nil"/>
              <w:right w:val="nil"/>
            </w:tcBorders>
            <w:shd w:val="clear" w:color="auto" w:fill="auto"/>
            <w:noWrap/>
            <w:vAlign w:val="bottom"/>
            <w:hideMark/>
          </w:tcPr>
          <w:p w14:paraId="6BC7F956" w14:textId="77777777" w:rsidR="00A20361" w:rsidRPr="00DE6C9E" w:rsidRDefault="00A20361" w:rsidP="00DE6C9E">
            <w:pPr>
              <w:rPr>
                <w:sz w:val="20"/>
                <w:szCs w:val="20"/>
              </w:rPr>
            </w:pPr>
            <w:r w:rsidRPr="00DE6C9E">
              <w:rPr>
                <w:sz w:val="20"/>
                <w:szCs w:val="20"/>
              </w:rPr>
              <w:t>2.92%</w:t>
            </w:r>
          </w:p>
        </w:tc>
        <w:tc>
          <w:tcPr>
            <w:tcW w:w="662" w:type="dxa"/>
            <w:tcBorders>
              <w:top w:val="nil"/>
              <w:left w:val="nil"/>
              <w:bottom w:val="nil"/>
              <w:right w:val="nil"/>
            </w:tcBorders>
            <w:shd w:val="clear" w:color="auto" w:fill="auto"/>
            <w:noWrap/>
            <w:vAlign w:val="bottom"/>
            <w:hideMark/>
          </w:tcPr>
          <w:p w14:paraId="71B5409D" w14:textId="2A96FA02" w:rsidR="00A20361" w:rsidRPr="00DE6C9E" w:rsidRDefault="00A20361" w:rsidP="00DE6C9E">
            <w:pPr>
              <w:rPr>
                <w:sz w:val="20"/>
                <w:szCs w:val="20"/>
              </w:rPr>
            </w:pPr>
            <w:r w:rsidRPr="00DE6C9E">
              <w:rPr>
                <w:sz w:val="20"/>
                <w:szCs w:val="20"/>
              </w:rPr>
              <w:t>1</w:t>
            </w:r>
            <w:r w:rsidR="00797780" w:rsidRPr="00DE6C9E">
              <w:rPr>
                <w:sz w:val="20"/>
                <w:szCs w:val="20"/>
              </w:rPr>
              <w:t>,</w:t>
            </w:r>
            <w:r w:rsidRPr="00DE6C9E">
              <w:rPr>
                <w:sz w:val="20"/>
                <w:szCs w:val="20"/>
              </w:rPr>
              <w:t>092</w:t>
            </w:r>
          </w:p>
        </w:tc>
        <w:tc>
          <w:tcPr>
            <w:tcW w:w="778" w:type="dxa"/>
            <w:tcBorders>
              <w:top w:val="nil"/>
              <w:left w:val="nil"/>
              <w:bottom w:val="nil"/>
              <w:right w:val="nil"/>
            </w:tcBorders>
            <w:shd w:val="clear" w:color="auto" w:fill="auto"/>
            <w:noWrap/>
            <w:vAlign w:val="bottom"/>
            <w:hideMark/>
          </w:tcPr>
          <w:p w14:paraId="517CC849" w14:textId="77777777" w:rsidR="00A20361" w:rsidRPr="00DE6C9E" w:rsidRDefault="00A20361" w:rsidP="00DE6C9E">
            <w:pPr>
              <w:rPr>
                <w:sz w:val="20"/>
                <w:szCs w:val="20"/>
              </w:rPr>
            </w:pPr>
            <w:r w:rsidRPr="00DE6C9E">
              <w:rPr>
                <w:sz w:val="20"/>
                <w:szCs w:val="20"/>
              </w:rPr>
              <w:t>0.33%</w:t>
            </w:r>
          </w:p>
        </w:tc>
        <w:tc>
          <w:tcPr>
            <w:tcW w:w="662" w:type="dxa"/>
            <w:tcBorders>
              <w:top w:val="nil"/>
              <w:left w:val="nil"/>
              <w:bottom w:val="nil"/>
              <w:right w:val="nil"/>
            </w:tcBorders>
            <w:shd w:val="clear" w:color="auto" w:fill="auto"/>
            <w:noWrap/>
            <w:vAlign w:val="bottom"/>
            <w:hideMark/>
          </w:tcPr>
          <w:p w14:paraId="3B1C7F19" w14:textId="5E7C8A40" w:rsidR="00A20361" w:rsidRPr="00DE6C9E" w:rsidRDefault="00A20361" w:rsidP="00DE6C9E">
            <w:pPr>
              <w:rPr>
                <w:sz w:val="20"/>
                <w:szCs w:val="20"/>
              </w:rPr>
            </w:pPr>
            <w:r w:rsidRPr="00DE6C9E">
              <w:rPr>
                <w:sz w:val="20"/>
                <w:szCs w:val="20"/>
              </w:rPr>
              <w:t>17</w:t>
            </w:r>
            <w:r w:rsidR="00797780" w:rsidRPr="00DE6C9E">
              <w:rPr>
                <w:sz w:val="20"/>
                <w:szCs w:val="20"/>
              </w:rPr>
              <w:t>,</w:t>
            </w:r>
            <w:r w:rsidRPr="00DE6C9E">
              <w:rPr>
                <w:sz w:val="20"/>
                <w:szCs w:val="20"/>
              </w:rPr>
              <w:t>214</w:t>
            </w:r>
          </w:p>
        </w:tc>
        <w:tc>
          <w:tcPr>
            <w:tcW w:w="778" w:type="dxa"/>
            <w:tcBorders>
              <w:top w:val="nil"/>
              <w:left w:val="nil"/>
              <w:bottom w:val="nil"/>
              <w:right w:val="nil"/>
            </w:tcBorders>
            <w:shd w:val="clear" w:color="auto" w:fill="auto"/>
            <w:noWrap/>
            <w:vAlign w:val="bottom"/>
            <w:hideMark/>
          </w:tcPr>
          <w:p w14:paraId="4F44AF1C" w14:textId="77777777" w:rsidR="00A20361" w:rsidRPr="00DE6C9E" w:rsidRDefault="00A20361" w:rsidP="00DE6C9E">
            <w:pPr>
              <w:rPr>
                <w:sz w:val="20"/>
                <w:szCs w:val="20"/>
              </w:rPr>
            </w:pPr>
            <w:r w:rsidRPr="00DE6C9E">
              <w:rPr>
                <w:sz w:val="20"/>
                <w:szCs w:val="20"/>
              </w:rPr>
              <w:t>1.96%</w:t>
            </w:r>
          </w:p>
        </w:tc>
      </w:tr>
      <w:tr w:rsidR="00A20361" w:rsidRPr="00F42BA4" w14:paraId="321DAEBD" w14:textId="77777777" w:rsidTr="0048210B">
        <w:trPr>
          <w:trHeight w:val="317"/>
          <w:jc w:val="center"/>
        </w:trPr>
        <w:tc>
          <w:tcPr>
            <w:tcW w:w="1364" w:type="dxa"/>
            <w:tcBorders>
              <w:top w:val="nil"/>
              <w:left w:val="nil"/>
              <w:bottom w:val="nil"/>
              <w:right w:val="nil"/>
            </w:tcBorders>
            <w:shd w:val="clear" w:color="auto" w:fill="auto"/>
            <w:noWrap/>
            <w:vAlign w:val="bottom"/>
            <w:hideMark/>
          </w:tcPr>
          <w:p w14:paraId="799499DD" w14:textId="77777777" w:rsidR="00A20361" w:rsidRPr="00DE6C9E" w:rsidRDefault="00A20361" w:rsidP="0048210B">
            <w:pPr>
              <w:rPr>
                <w:sz w:val="20"/>
                <w:szCs w:val="20"/>
              </w:rPr>
            </w:pPr>
            <w:r w:rsidRPr="00DE6C9E">
              <w:rPr>
                <w:sz w:val="20"/>
                <w:szCs w:val="20"/>
              </w:rPr>
              <w:t>Other Taxes</w:t>
            </w:r>
          </w:p>
        </w:tc>
        <w:tc>
          <w:tcPr>
            <w:tcW w:w="720" w:type="dxa"/>
            <w:tcBorders>
              <w:top w:val="nil"/>
              <w:left w:val="nil"/>
              <w:bottom w:val="nil"/>
              <w:right w:val="nil"/>
            </w:tcBorders>
            <w:shd w:val="clear" w:color="auto" w:fill="auto"/>
            <w:noWrap/>
            <w:vAlign w:val="bottom"/>
            <w:hideMark/>
          </w:tcPr>
          <w:p w14:paraId="54DFB489" w14:textId="77777777" w:rsidR="00A20361" w:rsidRPr="00DE6C9E" w:rsidRDefault="00A20361" w:rsidP="0048210B">
            <w:pPr>
              <w:rPr>
                <w:sz w:val="20"/>
                <w:szCs w:val="20"/>
              </w:rPr>
            </w:pPr>
          </w:p>
        </w:tc>
        <w:tc>
          <w:tcPr>
            <w:tcW w:w="662" w:type="dxa"/>
            <w:tcBorders>
              <w:top w:val="nil"/>
              <w:left w:val="nil"/>
              <w:bottom w:val="nil"/>
              <w:right w:val="nil"/>
            </w:tcBorders>
            <w:shd w:val="clear" w:color="auto" w:fill="auto"/>
            <w:noWrap/>
            <w:vAlign w:val="bottom"/>
            <w:hideMark/>
          </w:tcPr>
          <w:p w14:paraId="251DD259" w14:textId="2156C2CA" w:rsidR="00A20361" w:rsidRPr="00DE6C9E" w:rsidRDefault="00A20361" w:rsidP="00DE6C9E">
            <w:pPr>
              <w:rPr>
                <w:sz w:val="20"/>
                <w:szCs w:val="20"/>
              </w:rPr>
            </w:pPr>
            <w:r w:rsidRPr="00DE6C9E">
              <w:rPr>
                <w:sz w:val="20"/>
                <w:szCs w:val="20"/>
              </w:rPr>
              <w:t>65</w:t>
            </w:r>
            <w:r w:rsidR="00797780" w:rsidRPr="00DE6C9E">
              <w:rPr>
                <w:sz w:val="20"/>
                <w:szCs w:val="20"/>
              </w:rPr>
              <w:t>,</w:t>
            </w:r>
            <w:r w:rsidRPr="00DE6C9E">
              <w:rPr>
                <w:sz w:val="20"/>
                <w:szCs w:val="20"/>
              </w:rPr>
              <w:t>436</w:t>
            </w:r>
          </w:p>
        </w:tc>
        <w:tc>
          <w:tcPr>
            <w:tcW w:w="778" w:type="dxa"/>
            <w:tcBorders>
              <w:top w:val="nil"/>
              <w:left w:val="nil"/>
              <w:bottom w:val="nil"/>
              <w:right w:val="nil"/>
            </w:tcBorders>
            <w:shd w:val="clear" w:color="auto" w:fill="auto"/>
            <w:noWrap/>
            <w:vAlign w:val="bottom"/>
            <w:hideMark/>
          </w:tcPr>
          <w:p w14:paraId="041B6D5D" w14:textId="77777777" w:rsidR="00A20361" w:rsidRPr="00DE6C9E" w:rsidRDefault="00A20361" w:rsidP="00DE6C9E">
            <w:pPr>
              <w:rPr>
                <w:sz w:val="20"/>
                <w:szCs w:val="20"/>
              </w:rPr>
            </w:pPr>
            <w:r w:rsidRPr="00DE6C9E">
              <w:rPr>
                <w:sz w:val="20"/>
                <w:szCs w:val="20"/>
              </w:rPr>
              <w:t>11.85%</w:t>
            </w:r>
          </w:p>
        </w:tc>
        <w:tc>
          <w:tcPr>
            <w:tcW w:w="662" w:type="dxa"/>
            <w:tcBorders>
              <w:top w:val="nil"/>
              <w:left w:val="nil"/>
              <w:bottom w:val="nil"/>
              <w:right w:val="nil"/>
            </w:tcBorders>
            <w:shd w:val="clear" w:color="auto" w:fill="auto"/>
            <w:noWrap/>
            <w:vAlign w:val="bottom"/>
            <w:hideMark/>
          </w:tcPr>
          <w:p w14:paraId="2B3F31C6" w14:textId="7D01F471" w:rsidR="00A20361" w:rsidRPr="00DE6C9E" w:rsidRDefault="00A20361" w:rsidP="00DE6C9E">
            <w:pPr>
              <w:rPr>
                <w:sz w:val="20"/>
                <w:szCs w:val="20"/>
              </w:rPr>
            </w:pPr>
            <w:r w:rsidRPr="00DE6C9E">
              <w:rPr>
                <w:sz w:val="20"/>
                <w:szCs w:val="20"/>
              </w:rPr>
              <w:t>28</w:t>
            </w:r>
            <w:r w:rsidR="00797780" w:rsidRPr="00DE6C9E">
              <w:rPr>
                <w:sz w:val="20"/>
                <w:szCs w:val="20"/>
              </w:rPr>
              <w:t>,</w:t>
            </w:r>
            <w:r w:rsidRPr="00DE6C9E">
              <w:rPr>
                <w:sz w:val="20"/>
                <w:szCs w:val="20"/>
              </w:rPr>
              <w:t>235</w:t>
            </w:r>
          </w:p>
        </w:tc>
        <w:tc>
          <w:tcPr>
            <w:tcW w:w="778" w:type="dxa"/>
            <w:tcBorders>
              <w:top w:val="nil"/>
              <w:left w:val="nil"/>
              <w:bottom w:val="nil"/>
              <w:right w:val="nil"/>
            </w:tcBorders>
            <w:shd w:val="clear" w:color="auto" w:fill="auto"/>
            <w:noWrap/>
            <w:vAlign w:val="bottom"/>
            <w:hideMark/>
          </w:tcPr>
          <w:p w14:paraId="32653A1E" w14:textId="77777777" w:rsidR="00A20361" w:rsidRPr="00DE6C9E" w:rsidRDefault="00A20361" w:rsidP="00DE6C9E">
            <w:pPr>
              <w:rPr>
                <w:sz w:val="20"/>
                <w:szCs w:val="20"/>
              </w:rPr>
            </w:pPr>
            <w:r w:rsidRPr="00DE6C9E">
              <w:rPr>
                <w:sz w:val="20"/>
                <w:szCs w:val="20"/>
              </w:rPr>
              <w:t>8.60%</w:t>
            </w:r>
          </w:p>
        </w:tc>
        <w:tc>
          <w:tcPr>
            <w:tcW w:w="662" w:type="dxa"/>
            <w:tcBorders>
              <w:top w:val="nil"/>
              <w:left w:val="nil"/>
              <w:bottom w:val="nil"/>
              <w:right w:val="nil"/>
            </w:tcBorders>
            <w:shd w:val="clear" w:color="auto" w:fill="auto"/>
            <w:noWrap/>
            <w:vAlign w:val="bottom"/>
            <w:hideMark/>
          </w:tcPr>
          <w:p w14:paraId="70736BC9" w14:textId="6AD0A7C4" w:rsidR="00A20361" w:rsidRPr="00DE6C9E" w:rsidRDefault="00A20361" w:rsidP="00DE6C9E">
            <w:pPr>
              <w:rPr>
                <w:sz w:val="20"/>
                <w:szCs w:val="20"/>
              </w:rPr>
            </w:pPr>
            <w:r w:rsidRPr="00DE6C9E">
              <w:rPr>
                <w:sz w:val="20"/>
                <w:szCs w:val="20"/>
              </w:rPr>
              <w:t>93</w:t>
            </w:r>
            <w:r w:rsidR="00797780" w:rsidRPr="00DE6C9E">
              <w:rPr>
                <w:sz w:val="20"/>
                <w:szCs w:val="20"/>
              </w:rPr>
              <w:t>,</w:t>
            </w:r>
            <w:r w:rsidRPr="00DE6C9E">
              <w:rPr>
                <w:sz w:val="20"/>
                <w:szCs w:val="20"/>
              </w:rPr>
              <w:t>671</w:t>
            </w:r>
          </w:p>
        </w:tc>
        <w:tc>
          <w:tcPr>
            <w:tcW w:w="778" w:type="dxa"/>
            <w:tcBorders>
              <w:top w:val="nil"/>
              <w:left w:val="nil"/>
              <w:bottom w:val="nil"/>
              <w:right w:val="nil"/>
            </w:tcBorders>
            <w:shd w:val="clear" w:color="auto" w:fill="auto"/>
            <w:noWrap/>
            <w:vAlign w:val="bottom"/>
            <w:hideMark/>
          </w:tcPr>
          <w:p w14:paraId="16FAE486" w14:textId="77777777" w:rsidR="00A20361" w:rsidRPr="00DE6C9E" w:rsidRDefault="00A20361" w:rsidP="00DE6C9E">
            <w:pPr>
              <w:rPr>
                <w:sz w:val="20"/>
                <w:szCs w:val="20"/>
              </w:rPr>
            </w:pPr>
            <w:r w:rsidRPr="00DE6C9E">
              <w:rPr>
                <w:sz w:val="20"/>
                <w:szCs w:val="20"/>
              </w:rPr>
              <w:t>10.64%</w:t>
            </w:r>
          </w:p>
        </w:tc>
      </w:tr>
      <w:tr w:rsidR="00A20361" w:rsidRPr="00F42BA4" w14:paraId="2237D400" w14:textId="77777777" w:rsidTr="0048210B">
        <w:trPr>
          <w:trHeight w:val="317"/>
          <w:jc w:val="center"/>
        </w:trPr>
        <w:tc>
          <w:tcPr>
            <w:tcW w:w="1364" w:type="dxa"/>
            <w:tcBorders>
              <w:top w:val="nil"/>
              <w:left w:val="nil"/>
              <w:bottom w:val="single" w:sz="4" w:space="0" w:color="auto"/>
              <w:right w:val="nil"/>
            </w:tcBorders>
            <w:shd w:val="clear" w:color="auto" w:fill="auto"/>
            <w:noWrap/>
            <w:vAlign w:val="bottom"/>
            <w:hideMark/>
          </w:tcPr>
          <w:p w14:paraId="37C55C22" w14:textId="77777777" w:rsidR="00A20361" w:rsidRPr="00DE6C9E" w:rsidRDefault="00A20361" w:rsidP="0048210B">
            <w:pPr>
              <w:rPr>
                <w:sz w:val="20"/>
                <w:szCs w:val="20"/>
              </w:rPr>
            </w:pPr>
            <w:r w:rsidRPr="00DE6C9E">
              <w:rPr>
                <w:sz w:val="20"/>
                <w:szCs w:val="20"/>
              </w:rPr>
              <w:t>Total</w:t>
            </w:r>
          </w:p>
        </w:tc>
        <w:tc>
          <w:tcPr>
            <w:tcW w:w="720" w:type="dxa"/>
            <w:tcBorders>
              <w:top w:val="nil"/>
              <w:left w:val="nil"/>
              <w:bottom w:val="single" w:sz="4" w:space="0" w:color="auto"/>
              <w:right w:val="nil"/>
            </w:tcBorders>
            <w:shd w:val="clear" w:color="auto" w:fill="auto"/>
            <w:noWrap/>
            <w:vAlign w:val="bottom"/>
            <w:hideMark/>
          </w:tcPr>
          <w:p w14:paraId="296C452B" w14:textId="77777777" w:rsidR="00A20361" w:rsidRPr="00DE6C9E" w:rsidRDefault="00A20361" w:rsidP="0048210B">
            <w:pPr>
              <w:rPr>
                <w:sz w:val="20"/>
                <w:szCs w:val="20"/>
              </w:rPr>
            </w:pPr>
            <w:r w:rsidRPr="00DE6C9E">
              <w:rPr>
                <w:sz w:val="20"/>
                <w:szCs w:val="20"/>
              </w:rPr>
              <w:t> </w:t>
            </w:r>
          </w:p>
        </w:tc>
        <w:tc>
          <w:tcPr>
            <w:tcW w:w="662" w:type="dxa"/>
            <w:tcBorders>
              <w:top w:val="nil"/>
              <w:left w:val="nil"/>
              <w:bottom w:val="single" w:sz="4" w:space="0" w:color="auto"/>
              <w:right w:val="nil"/>
            </w:tcBorders>
            <w:shd w:val="clear" w:color="auto" w:fill="auto"/>
            <w:noWrap/>
            <w:vAlign w:val="bottom"/>
            <w:hideMark/>
          </w:tcPr>
          <w:p w14:paraId="39A63AAB" w14:textId="187B85D1" w:rsidR="00A20361" w:rsidRPr="00DE6C9E" w:rsidRDefault="00A20361" w:rsidP="00DE6C9E">
            <w:pPr>
              <w:rPr>
                <w:sz w:val="20"/>
                <w:szCs w:val="20"/>
              </w:rPr>
            </w:pPr>
            <w:r w:rsidRPr="00DE6C9E">
              <w:rPr>
                <w:sz w:val="20"/>
                <w:szCs w:val="20"/>
              </w:rPr>
              <w:t>552</w:t>
            </w:r>
            <w:r w:rsidR="00797780" w:rsidRPr="00DE6C9E">
              <w:rPr>
                <w:sz w:val="20"/>
                <w:szCs w:val="20"/>
              </w:rPr>
              <w:t>,</w:t>
            </w:r>
            <w:r w:rsidRPr="00DE6C9E">
              <w:rPr>
                <w:sz w:val="20"/>
                <w:szCs w:val="20"/>
              </w:rPr>
              <w:t>171</w:t>
            </w:r>
          </w:p>
        </w:tc>
        <w:tc>
          <w:tcPr>
            <w:tcW w:w="778" w:type="dxa"/>
            <w:tcBorders>
              <w:top w:val="nil"/>
              <w:left w:val="nil"/>
              <w:bottom w:val="single" w:sz="4" w:space="0" w:color="auto"/>
              <w:right w:val="nil"/>
            </w:tcBorders>
            <w:shd w:val="clear" w:color="auto" w:fill="auto"/>
            <w:noWrap/>
            <w:vAlign w:val="bottom"/>
            <w:hideMark/>
          </w:tcPr>
          <w:p w14:paraId="392586DE" w14:textId="77777777" w:rsidR="00A20361" w:rsidRPr="00DE6C9E" w:rsidRDefault="00A20361" w:rsidP="00DE6C9E">
            <w:pPr>
              <w:rPr>
                <w:sz w:val="20"/>
                <w:szCs w:val="20"/>
              </w:rPr>
            </w:pPr>
            <w:r w:rsidRPr="00DE6C9E">
              <w:rPr>
                <w:sz w:val="20"/>
                <w:szCs w:val="20"/>
              </w:rPr>
              <w:t>100.00%</w:t>
            </w:r>
          </w:p>
        </w:tc>
        <w:tc>
          <w:tcPr>
            <w:tcW w:w="662" w:type="dxa"/>
            <w:tcBorders>
              <w:top w:val="nil"/>
              <w:left w:val="nil"/>
              <w:bottom w:val="single" w:sz="4" w:space="0" w:color="auto"/>
              <w:right w:val="nil"/>
            </w:tcBorders>
            <w:shd w:val="clear" w:color="auto" w:fill="auto"/>
            <w:noWrap/>
            <w:vAlign w:val="bottom"/>
            <w:hideMark/>
          </w:tcPr>
          <w:p w14:paraId="6FB3B6D5" w14:textId="4F0B8B76" w:rsidR="00A20361" w:rsidRPr="00DE6C9E" w:rsidRDefault="00A20361" w:rsidP="00DE6C9E">
            <w:pPr>
              <w:rPr>
                <w:sz w:val="20"/>
                <w:szCs w:val="20"/>
              </w:rPr>
            </w:pPr>
            <w:r w:rsidRPr="00DE6C9E">
              <w:rPr>
                <w:sz w:val="20"/>
                <w:szCs w:val="20"/>
              </w:rPr>
              <w:t>328</w:t>
            </w:r>
            <w:r w:rsidR="00797780" w:rsidRPr="00DE6C9E">
              <w:rPr>
                <w:sz w:val="20"/>
                <w:szCs w:val="20"/>
              </w:rPr>
              <w:t>,</w:t>
            </w:r>
            <w:r w:rsidRPr="00DE6C9E">
              <w:rPr>
                <w:sz w:val="20"/>
                <w:szCs w:val="20"/>
              </w:rPr>
              <w:t>180</w:t>
            </w:r>
          </w:p>
        </w:tc>
        <w:tc>
          <w:tcPr>
            <w:tcW w:w="778" w:type="dxa"/>
            <w:tcBorders>
              <w:top w:val="nil"/>
              <w:left w:val="nil"/>
              <w:bottom w:val="single" w:sz="4" w:space="0" w:color="auto"/>
              <w:right w:val="nil"/>
            </w:tcBorders>
            <w:shd w:val="clear" w:color="auto" w:fill="auto"/>
            <w:noWrap/>
            <w:vAlign w:val="bottom"/>
            <w:hideMark/>
          </w:tcPr>
          <w:p w14:paraId="5C79EE75" w14:textId="77777777" w:rsidR="00A20361" w:rsidRPr="00DE6C9E" w:rsidRDefault="00A20361" w:rsidP="00DE6C9E">
            <w:pPr>
              <w:rPr>
                <w:sz w:val="20"/>
                <w:szCs w:val="20"/>
              </w:rPr>
            </w:pPr>
            <w:r w:rsidRPr="00DE6C9E">
              <w:rPr>
                <w:sz w:val="20"/>
                <w:szCs w:val="20"/>
              </w:rPr>
              <w:t>100.00%</w:t>
            </w:r>
          </w:p>
        </w:tc>
        <w:tc>
          <w:tcPr>
            <w:tcW w:w="662" w:type="dxa"/>
            <w:tcBorders>
              <w:top w:val="nil"/>
              <w:left w:val="nil"/>
              <w:bottom w:val="single" w:sz="4" w:space="0" w:color="auto"/>
              <w:right w:val="nil"/>
            </w:tcBorders>
            <w:shd w:val="clear" w:color="auto" w:fill="auto"/>
            <w:noWrap/>
            <w:vAlign w:val="bottom"/>
            <w:hideMark/>
          </w:tcPr>
          <w:p w14:paraId="4CBDD9B1" w14:textId="61C10755" w:rsidR="00A20361" w:rsidRPr="00DE6C9E" w:rsidRDefault="00A20361" w:rsidP="00DE6C9E">
            <w:pPr>
              <w:rPr>
                <w:sz w:val="20"/>
                <w:szCs w:val="20"/>
              </w:rPr>
            </w:pPr>
            <w:r w:rsidRPr="00DE6C9E">
              <w:rPr>
                <w:sz w:val="20"/>
                <w:szCs w:val="20"/>
              </w:rPr>
              <w:t>880</w:t>
            </w:r>
            <w:r w:rsidR="00797780" w:rsidRPr="00DE6C9E">
              <w:rPr>
                <w:sz w:val="20"/>
                <w:szCs w:val="20"/>
              </w:rPr>
              <w:t>,</w:t>
            </w:r>
            <w:r w:rsidRPr="00DE6C9E">
              <w:rPr>
                <w:sz w:val="20"/>
                <w:szCs w:val="20"/>
              </w:rPr>
              <w:t>351</w:t>
            </w:r>
          </w:p>
        </w:tc>
        <w:tc>
          <w:tcPr>
            <w:tcW w:w="778" w:type="dxa"/>
            <w:tcBorders>
              <w:top w:val="nil"/>
              <w:left w:val="nil"/>
              <w:bottom w:val="single" w:sz="4" w:space="0" w:color="auto"/>
              <w:right w:val="nil"/>
            </w:tcBorders>
            <w:shd w:val="clear" w:color="auto" w:fill="auto"/>
            <w:noWrap/>
            <w:vAlign w:val="bottom"/>
            <w:hideMark/>
          </w:tcPr>
          <w:p w14:paraId="2A553750" w14:textId="77777777" w:rsidR="00A20361" w:rsidRPr="00DE6C9E" w:rsidRDefault="00A20361" w:rsidP="00DE6C9E">
            <w:pPr>
              <w:rPr>
                <w:sz w:val="20"/>
                <w:szCs w:val="20"/>
              </w:rPr>
            </w:pPr>
            <w:r w:rsidRPr="00DE6C9E">
              <w:rPr>
                <w:sz w:val="20"/>
                <w:szCs w:val="20"/>
              </w:rPr>
              <w:t>100.00%</w:t>
            </w:r>
          </w:p>
        </w:tc>
      </w:tr>
    </w:tbl>
    <w:p w14:paraId="52CCD8F8" w14:textId="77777777" w:rsidR="00A20361" w:rsidRPr="00F42BA4" w:rsidRDefault="00A20361" w:rsidP="001F54C1">
      <w:pPr>
        <w:ind w:firstLine="810"/>
        <w:jc w:val="center"/>
        <w:rPr>
          <w:rFonts w:ascii="Times" w:hAnsi="Times" w:cs="Times"/>
          <w:color w:val="000000"/>
          <w:sz w:val="20"/>
          <w:szCs w:val="20"/>
        </w:rPr>
      </w:pPr>
    </w:p>
    <w:p w14:paraId="4EFE92CA" w14:textId="47E35CB2" w:rsidR="00A20361" w:rsidRPr="00DE6C9E" w:rsidRDefault="00A20361" w:rsidP="000E7A84">
      <w:pPr>
        <w:ind w:firstLine="810"/>
        <w:jc w:val="both"/>
        <w:rPr>
          <w:rFonts w:ascii="Times" w:hAnsi="Times" w:cs="Times"/>
          <w:color w:val="000000"/>
          <w:sz w:val="20"/>
          <w:szCs w:val="20"/>
        </w:rPr>
      </w:pPr>
      <w:r w:rsidRPr="00DE6C9E">
        <w:rPr>
          <w:rFonts w:ascii="Times" w:hAnsi="Times" w:cs="Times"/>
          <w:color w:val="000000"/>
          <w:sz w:val="20"/>
          <w:szCs w:val="20"/>
        </w:rPr>
        <w:t xml:space="preserve">Source: </w:t>
      </w:r>
      <w:r w:rsidRPr="00DE6C9E">
        <w:rPr>
          <w:rFonts w:ascii="Calibri" w:hAnsi="Calibri" w:cs="Calibri"/>
          <w:color w:val="000000"/>
          <w:sz w:val="20"/>
          <w:szCs w:val="20"/>
        </w:rPr>
        <w:t>﻿</w:t>
      </w:r>
      <w:r w:rsidRPr="00DE6C9E">
        <w:rPr>
          <w:rFonts w:ascii="Times" w:hAnsi="Times" w:cs="Times"/>
          <w:color w:val="000000"/>
          <w:sz w:val="20"/>
          <w:szCs w:val="20"/>
        </w:rPr>
        <w:t xml:space="preserve">Quarterly </w:t>
      </w:r>
      <w:r w:rsidR="001F54C1" w:rsidRPr="00DE6C9E">
        <w:rPr>
          <w:rFonts w:ascii="Times" w:hAnsi="Times" w:cs="Times"/>
          <w:color w:val="000000"/>
          <w:sz w:val="20"/>
          <w:szCs w:val="20"/>
        </w:rPr>
        <w:t>Summ</w:t>
      </w:r>
      <w:r w:rsidR="001F54C1">
        <w:rPr>
          <w:rFonts w:ascii="Times" w:hAnsi="Times" w:cs="Times"/>
          <w:color w:val="000000"/>
          <w:sz w:val="20"/>
          <w:szCs w:val="20"/>
        </w:rPr>
        <w:t>a</w:t>
      </w:r>
      <w:r w:rsidR="001F54C1" w:rsidRPr="00DE6C9E">
        <w:rPr>
          <w:rFonts w:ascii="Times" w:hAnsi="Times" w:cs="Times"/>
          <w:color w:val="000000"/>
          <w:sz w:val="20"/>
          <w:szCs w:val="20"/>
        </w:rPr>
        <w:t xml:space="preserve">ry </w:t>
      </w:r>
      <w:r w:rsidRPr="00DE6C9E">
        <w:rPr>
          <w:rFonts w:ascii="Times" w:hAnsi="Times" w:cs="Times"/>
          <w:color w:val="000000"/>
          <w:sz w:val="20"/>
          <w:szCs w:val="20"/>
        </w:rPr>
        <w:t>of State and Local Taxes, US. Census Bureau.</w:t>
      </w:r>
      <w:r w:rsidR="001F54C1">
        <w:rPr>
          <w:rFonts w:ascii="Times" w:hAnsi="Times" w:cs="Times"/>
          <w:color w:val="000000"/>
          <w:sz w:val="20"/>
          <w:szCs w:val="20"/>
        </w:rPr>
        <w:t xml:space="preserve"> </w:t>
      </w:r>
      <w:r w:rsidRPr="00DE6C9E">
        <w:rPr>
          <w:rFonts w:ascii="Times" w:hAnsi="Times" w:cs="Times"/>
          <w:color w:val="000000"/>
          <w:sz w:val="20"/>
          <w:szCs w:val="20"/>
        </w:rPr>
        <w:t>Numbers measured in million</w:t>
      </w:r>
      <w:r w:rsidR="00130662" w:rsidRPr="00DE6C9E">
        <w:rPr>
          <w:rFonts w:ascii="Times" w:hAnsi="Times" w:cs="Times"/>
          <w:color w:val="000000"/>
          <w:sz w:val="20"/>
          <w:szCs w:val="20"/>
        </w:rPr>
        <w:t xml:space="preserve">s of </w:t>
      </w:r>
      <w:r w:rsidRPr="00DE6C9E">
        <w:rPr>
          <w:rFonts w:ascii="Times" w:hAnsi="Times" w:cs="Times"/>
          <w:color w:val="000000"/>
          <w:sz w:val="20"/>
          <w:szCs w:val="20"/>
        </w:rPr>
        <w:t>dollars.</w:t>
      </w:r>
    </w:p>
    <w:p w14:paraId="17522B9F" w14:textId="77777777" w:rsidR="00A20361" w:rsidRDefault="00A20361" w:rsidP="00A20361">
      <w:pPr>
        <w:jc w:val="center"/>
        <w:rPr>
          <w:rFonts w:ascii="Times" w:hAnsi="Times" w:cs="Times"/>
          <w:color w:val="000000"/>
        </w:rPr>
      </w:pPr>
    </w:p>
    <w:p w14:paraId="46603D3E" w14:textId="77777777" w:rsidR="00A20361" w:rsidRDefault="00A20361" w:rsidP="00A20361">
      <w:pPr>
        <w:rPr>
          <w:rFonts w:ascii="Times" w:hAnsi="Times" w:cs="Times"/>
          <w:color w:val="000000"/>
        </w:rPr>
      </w:pPr>
      <w:r>
        <w:rPr>
          <w:rFonts w:ascii="Times" w:hAnsi="Times" w:cs="Times"/>
          <w:color w:val="000000"/>
        </w:rPr>
        <w:br w:type="page"/>
      </w:r>
    </w:p>
    <w:p w14:paraId="751A3C20" w14:textId="77777777" w:rsidR="00A20361" w:rsidRPr="000E7A84" w:rsidRDefault="00A20361" w:rsidP="000E7A84">
      <w:pPr>
        <w:rPr>
          <w:rFonts w:ascii="Times" w:hAnsi="Times" w:cs="Times"/>
          <w:b/>
          <w:bCs/>
          <w:color w:val="000000"/>
        </w:rPr>
      </w:pPr>
      <w:r w:rsidRPr="000E7A84">
        <w:rPr>
          <w:rFonts w:ascii="Times" w:hAnsi="Times" w:cs="Times" w:hint="eastAsia"/>
          <w:b/>
          <w:bCs/>
          <w:color w:val="000000"/>
        </w:rPr>
        <w:lastRenderedPageBreak/>
        <w:t>Table</w:t>
      </w:r>
      <w:r w:rsidRPr="000E7A84">
        <w:rPr>
          <w:rFonts w:ascii="Times" w:hAnsi="Times" w:cs="Times"/>
          <w:b/>
          <w:bCs/>
          <w:color w:val="000000"/>
        </w:rPr>
        <w:t xml:space="preserve"> 2. Descriptive Statistics</w:t>
      </w:r>
    </w:p>
    <w:tbl>
      <w:tblPr>
        <w:tblW w:w="9852" w:type="dxa"/>
        <w:jc w:val="center"/>
        <w:tblBorders>
          <w:top w:val="single" w:sz="4" w:space="0" w:color="auto"/>
          <w:bottom w:val="single" w:sz="4" w:space="0" w:color="auto"/>
        </w:tblBorders>
        <w:tblLook w:val="04A0" w:firstRow="1" w:lastRow="0" w:firstColumn="1" w:lastColumn="0" w:noHBand="0" w:noVBand="1"/>
      </w:tblPr>
      <w:tblGrid>
        <w:gridCol w:w="2178"/>
        <w:gridCol w:w="1279"/>
        <w:gridCol w:w="1279"/>
        <w:gridCol w:w="1279"/>
        <w:gridCol w:w="1279"/>
        <w:gridCol w:w="1279"/>
        <w:gridCol w:w="1279"/>
      </w:tblGrid>
      <w:tr w:rsidR="00A20361" w14:paraId="09BA6E6A" w14:textId="77777777" w:rsidTr="0048210B">
        <w:trPr>
          <w:trHeight w:val="256"/>
          <w:jc w:val="center"/>
        </w:trPr>
        <w:tc>
          <w:tcPr>
            <w:tcW w:w="2178" w:type="dxa"/>
            <w:tcBorders>
              <w:top w:val="single" w:sz="4" w:space="0" w:color="auto"/>
              <w:bottom w:val="nil"/>
            </w:tcBorders>
            <w:shd w:val="clear" w:color="auto" w:fill="auto"/>
            <w:noWrap/>
            <w:vAlign w:val="bottom"/>
            <w:hideMark/>
          </w:tcPr>
          <w:p w14:paraId="0A819835" w14:textId="77777777" w:rsidR="00A20361" w:rsidRPr="00F31BE4" w:rsidRDefault="00A20361" w:rsidP="0048210B">
            <w:pPr>
              <w:rPr>
                <w:sz w:val="20"/>
                <w:szCs w:val="20"/>
              </w:rPr>
            </w:pPr>
          </w:p>
        </w:tc>
        <w:tc>
          <w:tcPr>
            <w:tcW w:w="1279" w:type="dxa"/>
            <w:tcBorders>
              <w:top w:val="single" w:sz="4" w:space="0" w:color="auto"/>
              <w:bottom w:val="nil"/>
            </w:tcBorders>
            <w:shd w:val="clear" w:color="auto" w:fill="auto"/>
            <w:noWrap/>
            <w:vAlign w:val="bottom"/>
            <w:hideMark/>
          </w:tcPr>
          <w:p w14:paraId="28B8D10B" w14:textId="77777777" w:rsidR="00A20361" w:rsidRPr="00F31BE4" w:rsidRDefault="00A20361" w:rsidP="0048210B">
            <w:pPr>
              <w:jc w:val="right"/>
              <w:rPr>
                <w:sz w:val="20"/>
                <w:szCs w:val="20"/>
              </w:rPr>
            </w:pPr>
            <w:r w:rsidRPr="00F31BE4">
              <w:rPr>
                <w:sz w:val="20"/>
                <w:szCs w:val="20"/>
              </w:rPr>
              <w:t>1990</w:t>
            </w:r>
          </w:p>
        </w:tc>
        <w:tc>
          <w:tcPr>
            <w:tcW w:w="1279" w:type="dxa"/>
            <w:tcBorders>
              <w:top w:val="single" w:sz="4" w:space="0" w:color="auto"/>
              <w:bottom w:val="nil"/>
            </w:tcBorders>
            <w:shd w:val="clear" w:color="auto" w:fill="auto"/>
            <w:noWrap/>
            <w:vAlign w:val="bottom"/>
            <w:hideMark/>
          </w:tcPr>
          <w:p w14:paraId="553857C8" w14:textId="77777777" w:rsidR="00A20361" w:rsidRPr="00F31BE4" w:rsidRDefault="00A20361" w:rsidP="0048210B">
            <w:pPr>
              <w:jc w:val="right"/>
              <w:rPr>
                <w:sz w:val="20"/>
                <w:szCs w:val="20"/>
              </w:rPr>
            </w:pPr>
          </w:p>
        </w:tc>
        <w:tc>
          <w:tcPr>
            <w:tcW w:w="1279" w:type="dxa"/>
            <w:tcBorders>
              <w:top w:val="single" w:sz="4" w:space="0" w:color="auto"/>
              <w:bottom w:val="nil"/>
            </w:tcBorders>
            <w:shd w:val="clear" w:color="auto" w:fill="auto"/>
            <w:noWrap/>
            <w:vAlign w:val="bottom"/>
            <w:hideMark/>
          </w:tcPr>
          <w:p w14:paraId="6D8C63C1" w14:textId="77777777" w:rsidR="00A20361" w:rsidRPr="00F31BE4" w:rsidRDefault="00A20361" w:rsidP="0048210B">
            <w:pPr>
              <w:jc w:val="right"/>
              <w:rPr>
                <w:sz w:val="20"/>
                <w:szCs w:val="20"/>
              </w:rPr>
            </w:pPr>
            <w:r w:rsidRPr="00F31BE4">
              <w:rPr>
                <w:sz w:val="20"/>
                <w:szCs w:val="20"/>
              </w:rPr>
              <w:t>2000</w:t>
            </w:r>
          </w:p>
        </w:tc>
        <w:tc>
          <w:tcPr>
            <w:tcW w:w="1279" w:type="dxa"/>
            <w:tcBorders>
              <w:top w:val="single" w:sz="4" w:space="0" w:color="auto"/>
              <w:bottom w:val="nil"/>
            </w:tcBorders>
            <w:shd w:val="clear" w:color="auto" w:fill="auto"/>
            <w:noWrap/>
            <w:vAlign w:val="bottom"/>
            <w:hideMark/>
          </w:tcPr>
          <w:p w14:paraId="3DDBC39F" w14:textId="77777777" w:rsidR="00A20361" w:rsidRPr="00F31BE4" w:rsidRDefault="00A20361" w:rsidP="0048210B">
            <w:pPr>
              <w:jc w:val="right"/>
              <w:rPr>
                <w:sz w:val="20"/>
                <w:szCs w:val="20"/>
              </w:rPr>
            </w:pPr>
          </w:p>
        </w:tc>
        <w:tc>
          <w:tcPr>
            <w:tcW w:w="1279" w:type="dxa"/>
            <w:tcBorders>
              <w:top w:val="single" w:sz="4" w:space="0" w:color="auto"/>
              <w:bottom w:val="nil"/>
            </w:tcBorders>
            <w:shd w:val="clear" w:color="auto" w:fill="auto"/>
            <w:noWrap/>
            <w:vAlign w:val="bottom"/>
            <w:hideMark/>
          </w:tcPr>
          <w:p w14:paraId="32EC82CE" w14:textId="77777777" w:rsidR="00A20361" w:rsidRPr="00F31BE4" w:rsidRDefault="00A20361" w:rsidP="0048210B">
            <w:pPr>
              <w:jc w:val="right"/>
              <w:rPr>
                <w:sz w:val="20"/>
                <w:szCs w:val="20"/>
              </w:rPr>
            </w:pPr>
            <w:r w:rsidRPr="00F31BE4">
              <w:rPr>
                <w:sz w:val="20"/>
                <w:szCs w:val="20"/>
              </w:rPr>
              <w:t>2007</w:t>
            </w:r>
          </w:p>
        </w:tc>
        <w:tc>
          <w:tcPr>
            <w:tcW w:w="1279" w:type="dxa"/>
            <w:tcBorders>
              <w:top w:val="single" w:sz="4" w:space="0" w:color="auto"/>
              <w:bottom w:val="nil"/>
            </w:tcBorders>
            <w:shd w:val="clear" w:color="auto" w:fill="auto"/>
            <w:noWrap/>
            <w:vAlign w:val="bottom"/>
            <w:hideMark/>
          </w:tcPr>
          <w:p w14:paraId="3662DCB9" w14:textId="77777777" w:rsidR="00A20361" w:rsidRPr="00F31BE4" w:rsidRDefault="00A20361" w:rsidP="0048210B">
            <w:pPr>
              <w:jc w:val="right"/>
              <w:rPr>
                <w:sz w:val="20"/>
                <w:szCs w:val="20"/>
              </w:rPr>
            </w:pPr>
          </w:p>
        </w:tc>
      </w:tr>
      <w:tr w:rsidR="00A20361" w14:paraId="662663CC" w14:textId="77777777" w:rsidTr="0048210B">
        <w:trPr>
          <w:trHeight w:val="256"/>
          <w:jc w:val="center"/>
        </w:trPr>
        <w:tc>
          <w:tcPr>
            <w:tcW w:w="2178" w:type="dxa"/>
            <w:tcBorders>
              <w:top w:val="nil"/>
              <w:bottom w:val="single" w:sz="4" w:space="0" w:color="auto"/>
            </w:tcBorders>
            <w:shd w:val="clear" w:color="auto" w:fill="auto"/>
            <w:noWrap/>
            <w:vAlign w:val="bottom"/>
            <w:hideMark/>
          </w:tcPr>
          <w:p w14:paraId="502A9DBE" w14:textId="77777777" w:rsidR="00A20361" w:rsidRPr="00F31BE4" w:rsidRDefault="00A20361" w:rsidP="0048210B">
            <w:pPr>
              <w:rPr>
                <w:sz w:val="20"/>
                <w:szCs w:val="20"/>
              </w:rPr>
            </w:pPr>
          </w:p>
        </w:tc>
        <w:tc>
          <w:tcPr>
            <w:tcW w:w="1279" w:type="dxa"/>
            <w:tcBorders>
              <w:top w:val="nil"/>
              <w:bottom w:val="single" w:sz="4" w:space="0" w:color="auto"/>
            </w:tcBorders>
            <w:shd w:val="clear" w:color="auto" w:fill="auto"/>
            <w:noWrap/>
            <w:vAlign w:val="bottom"/>
            <w:hideMark/>
          </w:tcPr>
          <w:p w14:paraId="0DF25592" w14:textId="77777777" w:rsidR="00A20361" w:rsidRPr="00F31BE4" w:rsidRDefault="00A20361" w:rsidP="0048210B">
            <w:pPr>
              <w:rPr>
                <w:sz w:val="20"/>
                <w:szCs w:val="20"/>
              </w:rPr>
            </w:pPr>
            <w:r w:rsidRPr="00F31BE4">
              <w:rPr>
                <w:sz w:val="20"/>
                <w:szCs w:val="20"/>
              </w:rPr>
              <w:t>Low Exposure</w:t>
            </w:r>
          </w:p>
        </w:tc>
        <w:tc>
          <w:tcPr>
            <w:tcW w:w="1279" w:type="dxa"/>
            <w:tcBorders>
              <w:top w:val="nil"/>
              <w:bottom w:val="single" w:sz="4" w:space="0" w:color="auto"/>
            </w:tcBorders>
            <w:shd w:val="clear" w:color="auto" w:fill="auto"/>
            <w:noWrap/>
            <w:vAlign w:val="bottom"/>
            <w:hideMark/>
          </w:tcPr>
          <w:p w14:paraId="24C989D3" w14:textId="77777777" w:rsidR="00A20361" w:rsidRPr="00F31BE4" w:rsidRDefault="00A20361" w:rsidP="0048210B">
            <w:pPr>
              <w:rPr>
                <w:sz w:val="20"/>
                <w:szCs w:val="20"/>
              </w:rPr>
            </w:pPr>
            <w:r w:rsidRPr="00F31BE4">
              <w:rPr>
                <w:sz w:val="20"/>
                <w:szCs w:val="20"/>
              </w:rPr>
              <w:t>High Exposure</w:t>
            </w:r>
          </w:p>
        </w:tc>
        <w:tc>
          <w:tcPr>
            <w:tcW w:w="1279" w:type="dxa"/>
            <w:tcBorders>
              <w:top w:val="nil"/>
              <w:bottom w:val="single" w:sz="4" w:space="0" w:color="auto"/>
            </w:tcBorders>
            <w:shd w:val="clear" w:color="auto" w:fill="auto"/>
            <w:noWrap/>
            <w:vAlign w:val="bottom"/>
            <w:hideMark/>
          </w:tcPr>
          <w:p w14:paraId="62B91793" w14:textId="77777777" w:rsidR="00A20361" w:rsidRPr="00F31BE4" w:rsidRDefault="00A20361" w:rsidP="0048210B">
            <w:pPr>
              <w:rPr>
                <w:sz w:val="20"/>
                <w:szCs w:val="20"/>
              </w:rPr>
            </w:pPr>
            <w:r w:rsidRPr="00F31BE4">
              <w:rPr>
                <w:sz w:val="20"/>
                <w:szCs w:val="20"/>
              </w:rPr>
              <w:t>Low Exposure</w:t>
            </w:r>
          </w:p>
        </w:tc>
        <w:tc>
          <w:tcPr>
            <w:tcW w:w="1279" w:type="dxa"/>
            <w:tcBorders>
              <w:top w:val="nil"/>
              <w:bottom w:val="single" w:sz="4" w:space="0" w:color="auto"/>
            </w:tcBorders>
            <w:shd w:val="clear" w:color="auto" w:fill="auto"/>
            <w:noWrap/>
            <w:vAlign w:val="bottom"/>
            <w:hideMark/>
          </w:tcPr>
          <w:p w14:paraId="71CA5DE2" w14:textId="77777777" w:rsidR="00A20361" w:rsidRPr="00F31BE4" w:rsidRDefault="00A20361" w:rsidP="0048210B">
            <w:pPr>
              <w:rPr>
                <w:sz w:val="20"/>
                <w:szCs w:val="20"/>
              </w:rPr>
            </w:pPr>
            <w:r w:rsidRPr="00F31BE4">
              <w:rPr>
                <w:sz w:val="20"/>
                <w:szCs w:val="20"/>
              </w:rPr>
              <w:t>High Exposure</w:t>
            </w:r>
          </w:p>
        </w:tc>
        <w:tc>
          <w:tcPr>
            <w:tcW w:w="1279" w:type="dxa"/>
            <w:tcBorders>
              <w:top w:val="nil"/>
              <w:bottom w:val="single" w:sz="4" w:space="0" w:color="auto"/>
            </w:tcBorders>
            <w:shd w:val="clear" w:color="auto" w:fill="auto"/>
            <w:noWrap/>
            <w:vAlign w:val="bottom"/>
            <w:hideMark/>
          </w:tcPr>
          <w:p w14:paraId="7B808E20" w14:textId="77777777" w:rsidR="00A20361" w:rsidRPr="00F31BE4" w:rsidRDefault="00A20361" w:rsidP="0048210B">
            <w:pPr>
              <w:rPr>
                <w:sz w:val="20"/>
                <w:szCs w:val="20"/>
              </w:rPr>
            </w:pPr>
            <w:r w:rsidRPr="00F31BE4">
              <w:rPr>
                <w:sz w:val="20"/>
                <w:szCs w:val="20"/>
              </w:rPr>
              <w:t>Low Exposure</w:t>
            </w:r>
          </w:p>
        </w:tc>
        <w:tc>
          <w:tcPr>
            <w:tcW w:w="1279" w:type="dxa"/>
            <w:tcBorders>
              <w:top w:val="nil"/>
              <w:bottom w:val="single" w:sz="4" w:space="0" w:color="auto"/>
            </w:tcBorders>
            <w:shd w:val="clear" w:color="auto" w:fill="auto"/>
            <w:noWrap/>
            <w:vAlign w:val="bottom"/>
            <w:hideMark/>
          </w:tcPr>
          <w:p w14:paraId="0DD9588A" w14:textId="77777777" w:rsidR="00A20361" w:rsidRPr="00F31BE4" w:rsidRDefault="00A20361" w:rsidP="0048210B">
            <w:pPr>
              <w:rPr>
                <w:sz w:val="20"/>
                <w:szCs w:val="20"/>
              </w:rPr>
            </w:pPr>
            <w:r w:rsidRPr="00F31BE4">
              <w:rPr>
                <w:sz w:val="20"/>
                <w:szCs w:val="20"/>
              </w:rPr>
              <w:t>High Exposure</w:t>
            </w:r>
          </w:p>
        </w:tc>
      </w:tr>
      <w:tr w:rsidR="00A20361" w14:paraId="045AD40B" w14:textId="77777777" w:rsidTr="0048210B">
        <w:trPr>
          <w:trHeight w:val="256"/>
          <w:jc w:val="center"/>
        </w:trPr>
        <w:tc>
          <w:tcPr>
            <w:tcW w:w="2178" w:type="dxa"/>
            <w:tcBorders>
              <w:top w:val="single" w:sz="4" w:space="0" w:color="auto"/>
            </w:tcBorders>
            <w:shd w:val="clear" w:color="auto" w:fill="auto"/>
            <w:noWrap/>
            <w:vAlign w:val="bottom"/>
            <w:hideMark/>
          </w:tcPr>
          <w:p w14:paraId="69CF75C1" w14:textId="77777777" w:rsidR="00A20361" w:rsidRPr="00F31BE4" w:rsidRDefault="00A20361" w:rsidP="0048210B">
            <w:pPr>
              <w:rPr>
                <w:sz w:val="20"/>
                <w:szCs w:val="20"/>
              </w:rPr>
            </w:pPr>
            <w:r w:rsidRPr="00F31BE4">
              <w:rPr>
                <w:sz w:val="20"/>
                <w:szCs w:val="20"/>
              </w:rPr>
              <w:t>Import exposure (level)</w:t>
            </w:r>
          </w:p>
        </w:tc>
        <w:tc>
          <w:tcPr>
            <w:tcW w:w="1279" w:type="dxa"/>
            <w:tcBorders>
              <w:top w:val="single" w:sz="4" w:space="0" w:color="auto"/>
            </w:tcBorders>
            <w:shd w:val="clear" w:color="auto" w:fill="auto"/>
            <w:noWrap/>
            <w:vAlign w:val="bottom"/>
            <w:hideMark/>
          </w:tcPr>
          <w:p w14:paraId="56E5557D" w14:textId="77777777" w:rsidR="00A20361" w:rsidRPr="00F31BE4" w:rsidRDefault="00A20361" w:rsidP="0048210B">
            <w:pPr>
              <w:jc w:val="right"/>
              <w:rPr>
                <w:sz w:val="20"/>
                <w:szCs w:val="20"/>
              </w:rPr>
            </w:pPr>
            <w:r w:rsidRPr="00F31BE4">
              <w:rPr>
                <w:sz w:val="20"/>
                <w:szCs w:val="20"/>
              </w:rPr>
              <w:t>0.12</w:t>
            </w:r>
          </w:p>
        </w:tc>
        <w:tc>
          <w:tcPr>
            <w:tcW w:w="1279" w:type="dxa"/>
            <w:tcBorders>
              <w:top w:val="single" w:sz="4" w:space="0" w:color="auto"/>
            </w:tcBorders>
            <w:shd w:val="clear" w:color="auto" w:fill="auto"/>
            <w:noWrap/>
            <w:vAlign w:val="bottom"/>
            <w:hideMark/>
          </w:tcPr>
          <w:p w14:paraId="370D7739" w14:textId="77777777" w:rsidR="00A20361" w:rsidRPr="00F31BE4" w:rsidRDefault="00A20361" w:rsidP="0048210B">
            <w:pPr>
              <w:jc w:val="right"/>
              <w:rPr>
                <w:sz w:val="20"/>
                <w:szCs w:val="20"/>
              </w:rPr>
            </w:pPr>
            <w:r w:rsidRPr="00F31BE4">
              <w:rPr>
                <w:sz w:val="20"/>
                <w:szCs w:val="20"/>
              </w:rPr>
              <w:t>0.3</w:t>
            </w:r>
          </w:p>
        </w:tc>
        <w:tc>
          <w:tcPr>
            <w:tcW w:w="1279" w:type="dxa"/>
            <w:tcBorders>
              <w:top w:val="single" w:sz="4" w:space="0" w:color="auto"/>
            </w:tcBorders>
            <w:shd w:val="clear" w:color="auto" w:fill="auto"/>
            <w:noWrap/>
            <w:vAlign w:val="bottom"/>
            <w:hideMark/>
          </w:tcPr>
          <w:p w14:paraId="1AA3A53E" w14:textId="77777777" w:rsidR="00A20361" w:rsidRPr="00F31BE4" w:rsidRDefault="00A20361" w:rsidP="0048210B">
            <w:pPr>
              <w:jc w:val="right"/>
              <w:rPr>
                <w:sz w:val="20"/>
                <w:szCs w:val="20"/>
              </w:rPr>
            </w:pPr>
            <w:r w:rsidRPr="00F31BE4">
              <w:rPr>
                <w:sz w:val="20"/>
                <w:szCs w:val="20"/>
              </w:rPr>
              <w:t>0.58</w:t>
            </w:r>
          </w:p>
        </w:tc>
        <w:tc>
          <w:tcPr>
            <w:tcW w:w="1279" w:type="dxa"/>
            <w:tcBorders>
              <w:top w:val="single" w:sz="4" w:space="0" w:color="auto"/>
            </w:tcBorders>
            <w:shd w:val="clear" w:color="auto" w:fill="auto"/>
            <w:noWrap/>
            <w:vAlign w:val="bottom"/>
            <w:hideMark/>
          </w:tcPr>
          <w:p w14:paraId="130705B5" w14:textId="77777777" w:rsidR="00A20361" w:rsidRPr="00F31BE4" w:rsidRDefault="00A20361" w:rsidP="0048210B">
            <w:pPr>
              <w:jc w:val="right"/>
              <w:rPr>
                <w:sz w:val="20"/>
                <w:szCs w:val="20"/>
              </w:rPr>
            </w:pPr>
            <w:r w:rsidRPr="00F31BE4">
              <w:rPr>
                <w:sz w:val="20"/>
                <w:szCs w:val="20"/>
              </w:rPr>
              <w:t>1.23</w:t>
            </w:r>
          </w:p>
        </w:tc>
        <w:tc>
          <w:tcPr>
            <w:tcW w:w="1279" w:type="dxa"/>
            <w:tcBorders>
              <w:top w:val="single" w:sz="4" w:space="0" w:color="auto"/>
            </w:tcBorders>
            <w:shd w:val="clear" w:color="auto" w:fill="auto"/>
            <w:noWrap/>
            <w:vAlign w:val="bottom"/>
            <w:hideMark/>
          </w:tcPr>
          <w:p w14:paraId="0F729D7D" w14:textId="77777777" w:rsidR="00A20361" w:rsidRPr="00F31BE4" w:rsidRDefault="00A20361" w:rsidP="0048210B">
            <w:pPr>
              <w:jc w:val="right"/>
              <w:rPr>
                <w:sz w:val="20"/>
                <w:szCs w:val="20"/>
              </w:rPr>
            </w:pPr>
            <w:r w:rsidRPr="00F31BE4">
              <w:rPr>
                <w:sz w:val="20"/>
                <w:szCs w:val="20"/>
              </w:rPr>
              <w:t>1.38</w:t>
            </w:r>
          </w:p>
        </w:tc>
        <w:tc>
          <w:tcPr>
            <w:tcW w:w="1279" w:type="dxa"/>
            <w:tcBorders>
              <w:top w:val="single" w:sz="4" w:space="0" w:color="auto"/>
            </w:tcBorders>
            <w:shd w:val="clear" w:color="auto" w:fill="auto"/>
            <w:noWrap/>
            <w:vAlign w:val="bottom"/>
            <w:hideMark/>
          </w:tcPr>
          <w:p w14:paraId="3B1088BF" w14:textId="77777777" w:rsidR="00A20361" w:rsidRPr="00F31BE4" w:rsidRDefault="00A20361" w:rsidP="0048210B">
            <w:pPr>
              <w:jc w:val="right"/>
              <w:rPr>
                <w:sz w:val="20"/>
                <w:szCs w:val="20"/>
              </w:rPr>
            </w:pPr>
            <w:r w:rsidRPr="00F31BE4">
              <w:rPr>
                <w:sz w:val="20"/>
                <w:szCs w:val="20"/>
              </w:rPr>
              <w:t>3.01</w:t>
            </w:r>
          </w:p>
        </w:tc>
      </w:tr>
      <w:tr w:rsidR="00A20361" w14:paraId="2AF859EB" w14:textId="77777777" w:rsidTr="0048210B">
        <w:trPr>
          <w:trHeight w:val="256"/>
          <w:jc w:val="center"/>
        </w:trPr>
        <w:tc>
          <w:tcPr>
            <w:tcW w:w="2178" w:type="dxa"/>
            <w:shd w:val="clear" w:color="auto" w:fill="auto"/>
            <w:noWrap/>
            <w:vAlign w:val="bottom"/>
            <w:hideMark/>
          </w:tcPr>
          <w:p w14:paraId="2B855681" w14:textId="77777777" w:rsidR="00A20361" w:rsidRPr="00F31BE4" w:rsidRDefault="00A20361" w:rsidP="0048210B">
            <w:pPr>
              <w:jc w:val="right"/>
              <w:rPr>
                <w:sz w:val="20"/>
                <w:szCs w:val="20"/>
              </w:rPr>
            </w:pPr>
          </w:p>
        </w:tc>
        <w:tc>
          <w:tcPr>
            <w:tcW w:w="1279" w:type="dxa"/>
            <w:shd w:val="clear" w:color="auto" w:fill="auto"/>
            <w:noWrap/>
            <w:vAlign w:val="bottom"/>
            <w:hideMark/>
          </w:tcPr>
          <w:p w14:paraId="355468A8" w14:textId="77777777" w:rsidR="00A20361" w:rsidRPr="00F31BE4" w:rsidRDefault="00A20361" w:rsidP="0048210B">
            <w:pPr>
              <w:jc w:val="right"/>
              <w:rPr>
                <w:sz w:val="20"/>
                <w:szCs w:val="20"/>
              </w:rPr>
            </w:pPr>
            <w:r>
              <w:rPr>
                <w:sz w:val="20"/>
                <w:szCs w:val="20"/>
              </w:rPr>
              <w:t>(</w:t>
            </w:r>
            <w:r w:rsidRPr="00F31BE4">
              <w:rPr>
                <w:sz w:val="20"/>
                <w:szCs w:val="20"/>
              </w:rPr>
              <w:t>0.04</w:t>
            </w:r>
            <w:r>
              <w:rPr>
                <w:sz w:val="20"/>
                <w:szCs w:val="20"/>
              </w:rPr>
              <w:t>)</w:t>
            </w:r>
          </w:p>
        </w:tc>
        <w:tc>
          <w:tcPr>
            <w:tcW w:w="1279" w:type="dxa"/>
            <w:shd w:val="clear" w:color="auto" w:fill="auto"/>
            <w:noWrap/>
            <w:vAlign w:val="bottom"/>
            <w:hideMark/>
          </w:tcPr>
          <w:p w14:paraId="023FCE0D" w14:textId="77777777" w:rsidR="00A20361" w:rsidRPr="00F31BE4" w:rsidRDefault="00A20361" w:rsidP="0048210B">
            <w:pPr>
              <w:jc w:val="right"/>
              <w:rPr>
                <w:sz w:val="20"/>
                <w:szCs w:val="20"/>
              </w:rPr>
            </w:pPr>
            <w:r>
              <w:rPr>
                <w:sz w:val="20"/>
                <w:szCs w:val="20"/>
              </w:rPr>
              <w:t>(</w:t>
            </w:r>
            <w:r w:rsidRPr="00F31BE4">
              <w:rPr>
                <w:sz w:val="20"/>
                <w:szCs w:val="20"/>
              </w:rPr>
              <w:t>0.13</w:t>
            </w:r>
            <w:r>
              <w:rPr>
                <w:sz w:val="20"/>
                <w:szCs w:val="20"/>
              </w:rPr>
              <w:t>)</w:t>
            </w:r>
          </w:p>
        </w:tc>
        <w:tc>
          <w:tcPr>
            <w:tcW w:w="1279" w:type="dxa"/>
            <w:shd w:val="clear" w:color="auto" w:fill="auto"/>
            <w:noWrap/>
            <w:vAlign w:val="bottom"/>
            <w:hideMark/>
          </w:tcPr>
          <w:p w14:paraId="64D0741B" w14:textId="77777777" w:rsidR="00A20361" w:rsidRPr="00F31BE4" w:rsidRDefault="00A20361" w:rsidP="0048210B">
            <w:pPr>
              <w:jc w:val="right"/>
              <w:rPr>
                <w:sz w:val="20"/>
                <w:szCs w:val="20"/>
              </w:rPr>
            </w:pPr>
            <w:r>
              <w:rPr>
                <w:sz w:val="20"/>
                <w:szCs w:val="20"/>
              </w:rPr>
              <w:t>(</w:t>
            </w:r>
            <w:r w:rsidRPr="00F31BE4">
              <w:rPr>
                <w:sz w:val="20"/>
                <w:szCs w:val="20"/>
              </w:rPr>
              <w:t>0.16</w:t>
            </w:r>
            <w:r>
              <w:rPr>
                <w:sz w:val="20"/>
                <w:szCs w:val="20"/>
              </w:rPr>
              <w:t>)</w:t>
            </w:r>
          </w:p>
        </w:tc>
        <w:tc>
          <w:tcPr>
            <w:tcW w:w="1279" w:type="dxa"/>
            <w:shd w:val="clear" w:color="auto" w:fill="auto"/>
            <w:noWrap/>
            <w:vAlign w:val="bottom"/>
            <w:hideMark/>
          </w:tcPr>
          <w:p w14:paraId="2C03102C" w14:textId="77777777" w:rsidR="00A20361" w:rsidRPr="00F31BE4" w:rsidRDefault="00A20361" w:rsidP="0048210B">
            <w:pPr>
              <w:jc w:val="right"/>
              <w:rPr>
                <w:sz w:val="20"/>
                <w:szCs w:val="20"/>
              </w:rPr>
            </w:pPr>
            <w:r>
              <w:rPr>
                <w:sz w:val="20"/>
                <w:szCs w:val="20"/>
              </w:rPr>
              <w:t>(</w:t>
            </w:r>
            <w:r w:rsidRPr="00F31BE4">
              <w:rPr>
                <w:sz w:val="20"/>
                <w:szCs w:val="20"/>
              </w:rPr>
              <w:t>0.39</w:t>
            </w:r>
            <w:r>
              <w:rPr>
                <w:sz w:val="20"/>
                <w:szCs w:val="20"/>
              </w:rPr>
              <w:t>)</w:t>
            </w:r>
          </w:p>
        </w:tc>
        <w:tc>
          <w:tcPr>
            <w:tcW w:w="1279" w:type="dxa"/>
            <w:shd w:val="clear" w:color="auto" w:fill="auto"/>
            <w:noWrap/>
            <w:vAlign w:val="bottom"/>
            <w:hideMark/>
          </w:tcPr>
          <w:p w14:paraId="0C9022BB" w14:textId="77777777" w:rsidR="00A20361" w:rsidRPr="00F31BE4" w:rsidRDefault="00A20361" w:rsidP="0048210B">
            <w:pPr>
              <w:jc w:val="right"/>
              <w:rPr>
                <w:sz w:val="20"/>
                <w:szCs w:val="20"/>
              </w:rPr>
            </w:pPr>
            <w:r>
              <w:rPr>
                <w:sz w:val="20"/>
                <w:szCs w:val="20"/>
              </w:rPr>
              <w:t>(</w:t>
            </w:r>
            <w:r w:rsidRPr="00F31BE4">
              <w:rPr>
                <w:sz w:val="20"/>
                <w:szCs w:val="20"/>
              </w:rPr>
              <w:t>0.37</w:t>
            </w:r>
            <w:r>
              <w:rPr>
                <w:sz w:val="20"/>
                <w:szCs w:val="20"/>
              </w:rPr>
              <w:t>)</w:t>
            </w:r>
          </w:p>
        </w:tc>
        <w:tc>
          <w:tcPr>
            <w:tcW w:w="1279" w:type="dxa"/>
            <w:shd w:val="clear" w:color="auto" w:fill="auto"/>
            <w:noWrap/>
            <w:vAlign w:val="bottom"/>
            <w:hideMark/>
          </w:tcPr>
          <w:p w14:paraId="109122FF" w14:textId="77777777" w:rsidR="00A20361" w:rsidRPr="00F31BE4" w:rsidRDefault="00A20361" w:rsidP="0048210B">
            <w:pPr>
              <w:jc w:val="right"/>
              <w:rPr>
                <w:sz w:val="20"/>
                <w:szCs w:val="20"/>
              </w:rPr>
            </w:pPr>
            <w:r>
              <w:rPr>
                <w:sz w:val="20"/>
                <w:szCs w:val="20"/>
              </w:rPr>
              <w:t>(</w:t>
            </w:r>
            <w:r w:rsidRPr="00F31BE4">
              <w:rPr>
                <w:sz w:val="20"/>
                <w:szCs w:val="20"/>
              </w:rPr>
              <w:t>1.02</w:t>
            </w:r>
            <w:r>
              <w:rPr>
                <w:sz w:val="20"/>
                <w:szCs w:val="20"/>
              </w:rPr>
              <w:t>)</w:t>
            </w:r>
          </w:p>
        </w:tc>
      </w:tr>
      <w:tr w:rsidR="00A20361" w14:paraId="3E9D93AB" w14:textId="77777777" w:rsidTr="0048210B">
        <w:trPr>
          <w:trHeight w:val="256"/>
          <w:jc w:val="center"/>
        </w:trPr>
        <w:tc>
          <w:tcPr>
            <w:tcW w:w="2178" w:type="dxa"/>
            <w:shd w:val="clear" w:color="auto" w:fill="auto"/>
            <w:noWrap/>
            <w:vAlign w:val="bottom"/>
          </w:tcPr>
          <w:p w14:paraId="149E5893" w14:textId="77777777" w:rsidR="00A20361" w:rsidRPr="00F31BE4" w:rsidRDefault="00A20361" w:rsidP="0048210B">
            <w:pPr>
              <w:rPr>
                <w:sz w:val="20"/>
                <w:szCs w:val="20"/>
              </w:rPr>
            </w:pPr>
            <w:r w:rsidRPr="00F31BE4">
              <w:rPr>
                <w:sz w:val="20"/>
                <w:szCs w:val="20"/>
              </w:rPr>
              <w:t>Manufacturing employment share</w:t>
            </w:r>
          </w:p>
        </w:tc>
        <w:tc>
          <w:tcPr>
            <w:tcW w:w="1279" w:type="dxa"/>
            <w:shd w:val="clear" w:color="auto" w:fill="auto"/>
            <w:noWrap/>
            <w:vAlign w:val="bottom"/>
          </w:tcPr>
          <w:p w14:paraId="19B8CED4" w14:textId="77777777" w:rsidR="00A20361" w:rsidRPr="00F31BE4" w:rsidRDefault="00A20361" w:rsidP="0048210B">
            <w:pPr>
              <w:jc w:val="right"/>
              <w:rPr>
                <w:sz w:val="20"/>
                <w:szCs w:val="20"/>
              </w:rPr>
            </w:pPr>
            <w:r w:rsidRPr="00F31BE4">
              <w:rPr>
                <w:sz w:val="20"/>
                <w:szCs w:val="20"/>
              </w:rPr>
              <w:t>0.14</w:t>
            </w:r>
          </w:p>
        </w:tc>
        <w:tc>
          <w:tcPr>
            <w:tcW w:w="1279" w:type="dxa"/>
            <w:shd w:val="clear" w:color="auto" w:fill="auto"/>
            <w:noWrap/>
            <w:vAlign w:val="bottom"/>
          </w:tcPr>
          <w:p w14:paraId="61E3632B" w14:textId="77777777" w:rsidR="00A20361" w:rsidRPr="00F31BE4" w:rsidRDefault="00A20361" w:rsidP="0048210B">
            <w:pPr>
              <w:jc w:val="right"/>
              <w:rPr>
                <w:sz w:val="20"/>
                <w:szCs w:val="20"/>
              </w:rPr>
            </w:pPr>
            <w:r w:rsidRPr="00F31BE4">
              <w:rPr>
                <w:sz w:val="20"/>
                <w:szCs w:val="20"/>
              </w:rPr>
              <w:t>0.2</w:t>
            </w:r>
          </w:p>
        </w:tc>
        <w:tc>
          <w:tcPr>
            <w:tcW w:w="1279" w:type="dxa"/>
            <w:shd w:val="clear" w:color="auto" w:fill="auto"/>
            <w:noWrap/>
            <w:vAlign w:val="bottom"/>
          </w:tcPr>
          <w:p w14:paraId="6B6065C0" w14:textId="77777777" w:rsidR="00A20361" w:rsidRPr="00F31BE4" w:rsidRDefault="00A20361" w:rsidP="0048210B">
            <w:pPr>
              <w:jc w:val="right"/>
              <w:rPr>
                <w:sz w:val="20"/>
                <w:szCs w:val="20"/>
              </w:rPr>
            </w:pPr>
            <w:r w:rsidRPr="00F31BE4">
              <w:rPr>
                <w:sz w:val="20"/>
                <w:szCs w:val="20"/>
              </w:rPr>
              <w:t>0.1</w:t>
            </w:r>
          </w:p>
        </w:tc>
        <w:tc>
          <w:tcPr>
            <w:tcW w:w="1279" w:type="dxa"/>
            <w:shd w:val="clear" w:color="auto" w:fill="auto"/>
            <w:noWrap/>
            <w:vAlign w:val="bottom"/>
          </w:tcPr>
          <w:p w14:paraId="6C2C5DA0" w14:textId="77777777" w:rsidR="00A20361" w:rsidRPr="00F31BE4" w:rsidRDefault="00A20361" w:rsidP="0048210B">
            <w:pPr>
              <w:jc w:val="right"/>
              <w:rPr>
                <w:sz w:val="20"/>
                <w:szCs w:val="20"/>
              </w:rPr>
            </w:pPr>
            <w:r w:rsidRPr="00F31BE4">
              <w:rPr>
                <w:sz w:val="20"/>
                <w:szCs w:val="20"/>
              </w:rPr>
              <w:t>0.18</w:t>
            </w:r>
          </w:p>
        </w:tc>
        <w:tc>
          <w:tcPr>
            <w:tcW w:w="1279" w:type="dxa"/>
            <w:shd w:val="clear" w:color="auto" w:fill="auto"/>
            <w:noWrap/>
            <w:vAlign w:val="bottom"/>
          </w:tcPr>
          <w:p w14:paraId="7D10AC19" w14:textId="77777777" w:rsidR="00A20361" w:rsidRPr="00F31BE4" w:rsidRDefault="00A20361" w:rsidP="0048210B">
            <w:pPr>
              <w:jc w:val="right"/>
              <w:rPr>
                <w:sz w:val="20"/>
                <w:szCs w:val="20"/>
              </w:rPr>
            </w:pPr>
            <w:r w:rsidRPr="00F31BE4">
              <w:rPr>
                <w:sz w:val="20"/>
                <w:szCs w:val="20"/>
              </w:rPr>
              <w:t>0.08</w:t>
            </w:r>
          </w:p>
        </w:tc>
        <w:tc>
          <w:tcPr>
            <w:tcW w:w="1279" w:type="dxa"/>
            <w:shd w:val="clear" w:color="auto" w:fill="auto"/>
            <w:noWrap/>
            <w:vAlign w:val="bottom"/>
          </w:tcPr>
          <w:p w14:paraId="03A7275C" w14:textId="77777777" w:rsidR="00A20361" w:rsidRPr="00F31BE4" w:rsidRDefault="00A20361" w:rsidP="0048210B">
            <w:pPr>
              <w:jc w:val="right"/>
              <w:rPr>
                <w:sz w:val="20"/>
                <w:szCs w:val="20"/>
              </w:rPr>
            </w:pPr>
            <w:r w:rsidRPr="00F31BE4">
              <w:rPr>
                <w:sz w:val="20"/>
                <w:szCs w:val="20"/>
              </w:rPr>
              <w:t>0.14</w:t>
            </w:r>
          </w:p>
        </w:tc>
      </w:tr>
      <w:tr w:rsidR="00A20361" w14:paraId="5BD70EA8" w14:textId="77777777" w:rsidTr="0048210B">
        <w:trPr>
          <w:trHeight w:val="256"/>
          <w:jc w:val="center"/>
        </w:trPr>
        <w:tc>
          <w:tcPr>
            <w:tcW w:w="2178" w:type="dxa"/>
            <w:shd w:val="clear" w:color="auto" w:fill="auto"/>
            <w:noWrap/>
            <w:vAlign w:val="bottom"/>
          </w:tcPr>
          <w:p w14:paraId="3E36D725" w14:textId="77777777" w:rsidR="00A20361" w:rsidRPr="00F31BE4" w:rsidRDefault="00A20361" w:rsidP="0048210B">
            <w:pPr>
              <w:rPr>
                <w:sz w:val="20"/>
                <w:szCs w:val="20"/>
              </w:rPr>
            </w:pPr>
          </w:p>
        </w:tc>
        <w:tc>
          <w:tcPr>
            <w:tcW w:w="1279" w:type="dxa"/>
            <w:shd w:val="clear" w:color="auto" w:fill="auto"/>
            <w:noWrap/>
            <w:vAlign w:val="bottom"/>
          </w:tcPr>
          <w:p w14:paraId="58E87FFB"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c>
          <w:tcPr>
            <w:tcW w:w="1279" w:type="dxa"/>
            <w:shd w:val="clear" w:color="auto" w:fill="auto"/>
            <w:noWrap/>
            <w:vAlign w:val="bottom"/>
          </w:tcPr>
          <w:p w14:paraId="6A829C58" w14:textId="77777777" w:rsidR="00A20361" w:rsidRPr="00F31BE4" w:rsidRDefault="00A20361" w:rsidP="0048210B">
            <w:pPr>
              <w:jc w:val="right"/>
              <w:rPr>
                <w:sz w:val="20"/>
                <w:szCs w:val="20"/>
              </w:rPr>
            </w:pPr>
            <w:r>
              <w:rPr>
                <w:sz w:val="20"/>
                <w:szCs w:val="20"/>
              </w:rPr>
              <w:t>(</w:t>
            </w:r>
            <w:r w:rsidRPr="00F31BE4">
              <w:rPr>
                <w:sz w:val="20"/>
                <w:szCs w:val="20"/>
              </w:rPr>
              <w:t>0.06</w:t>
            </w:r>
            <w:r>
              <w:rPr>
                <w:sz w:val="20"/>
                <w:szCs w:val="20"/>
              </w:rPr>
              <w:t>)</w:t>
            </w:r>
          </w:p>
        </w:tc>
        <w:tc>
          <w:tcPr>
            <w:tcW w:w="1279" w:type="dxa"/>
            <w:shd w:val="clear" w:color="auto" w:fill="auto"/>
            <w:noWrap/>
            <w:vAlign w:val="bottom"/>
          </w:tcPr>
          <w:p w14:paraId="2FB4C5D8" w14:textId="77777777" w:rsidR="00A20361" w:rsidRPr="00F31BE4" w:rsidRDefault="00A20361" w:rsidP="0048210B">
            <w:pPr>
              <w:jc w:val="right"/>
              <w:rPr>
                <w:sz w:val="20"/>
                <w:szCs w:val="20"/>
              </w:rPr>
            </w:pPr>
            <w:r>
              <w:rPr>
                <w:sz w:val="20"/>
                <w:szCs w:val="20"/>
              </w:rPr>
              <w:t>(</w:t>
            </w:r>
            <w:r w:rsidRPr="00F31BE4">
              <w:rPr>
                <w:sz w:val="20"/>
                <w:szCs w:val="20"/>
              </w:rPr>
              <w:t>0.03</w:t>
            </w:r>
            <w:r>
              <w:rPr>
                <w:sz w:val="20"/>
                <w:szCs w:val="20"/>
              </w:rPr>
              <w:t>)</w:t>
            </w:r>
          </w:p>
        </w:tc>
        <w:tc>
          <w:tcPr>
            <w:tcW w:w="1279" w:type="dxa"/>
            <w:shd w:val="clear" w:color="auto" w:fill="auto"/>
            <w:noWrap/>
            <w:vAlign w:val="bottom"/>
          </w:tcPr>
          <w:p w14:paraId="4516BC32"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c>
          <w:tcPr>
            <w:tcW w:w="1279" w:type="dxa"/>
            <w:shd w:val="clear" w:color="auto" w:fill="auto"/>
            <w:noWrap/>
            <w:vAlign w:val="bottom"/>
          </w:tcPr>
          <w:p w14:paraId="143EA402" w14:textId="77777777" w:rsidR="00A20361" w:rsidRPr="00F31BE4" w:rsidRDefault="00A20361" w:rsidP="0048210B">
            <w:pPr>
              <w:jc w:val="right"/>
              <w:rPr>
                <w:sz w:val="20"/>
                <w:szCs w:val="20"/>
              </w:rPr>
            </w:pPr>
            <w:r>
              <w:rPr>
                <w:sz w:val="20"/>
                <w:szCs w:val="20"/>
              </w:rPr>
              <w:t>(</w:t>
            </w:r>
            <w:r w:rsidRPr="00F31BE4">
              <w:rPr>
                <w:sz w:val="20"/>
                <w:szCs w:val="20"/>
              </w:rPr>
              <w:t>0.03</w:t>
            </w:r>
            <w:r>
              <w:rPr>
                <w:sz w:val="20"/>
                <w:szCs w:val="20"/>
              </w:rPr>
              <w:t>)</w:t>
            </w:r>
          </w:p>
        </w:tc>
        <w:tc>
          <w:tcPr>
            <w:tcW w:w="1279" w:type="dxa"/>
            <w:shd w:val="clear" w:color="auto" w:fill="auto"/>
            <w:noWrap/>
            <w:vAlign w:val="bottom"/>
          </w:tcPr>
          <w:p w14:paraId="42268C09"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r>
      <w:tr w:rsidR="00A20361" w14:paraId="44DB3C7B" w14:textId="77777777" w:rsidTr="0048210B">
        <w:trPr>
          <w:trHeight w:val="256"/>
          <w:jc w:val="center"/>
        </w:trPr>
        <w:tc>
          <w:tcPr>
            <w:tcW w:w="2178" w:type="dxa"/>
            <w:shd w:val="clear" w:color="auto" w:fill="auto"/>
            <w:noWrap/>
            <w:vAlign w:val="bottom"/>
            <w:hideMark/>
          </w:tcPr>
          <w:p w14:paraId="645A379E" w14:textId="77777777" w:rsidR="00A20361" w:rsidRPr="00F31BE4" w:rsidRDefault="00A20361" w:rsidP="0048210B">
            <w:pPr>
              <w:rPr>
                <w:sz w:val="20"/>
                <w:szCs w:val="20"/>
              </w:rPr>
            </w:pPr>
            <w:r w:rsidRPr="00F31BE4">
              <w:rPr>
                <w:sz w:val="20"/>
                <w:szCs w:val="20"/>
              </w:rPr>
              <w:t>Total revenue per pupil (in k$)</w:t>
            </w:r>
          </w:p>
        </w:tc>
        <w:tc>
          <w:tcPr>
            <w:tcW w:w="1279" w:type="dxa"/>
            <w:shd w:val="clear" w:color="auto" w:fill="auto"/>
            <w:noWrap/>
            <w:vAlign w:val="bottom"/>
            <w:hideMark/>
          </w:tcPr>
          <w:p w14:paraId="74149A83" w14:textId="77777777" w:rsidR="00A20361" w:rsidRPr="00F31BE4" w:rsidRDefault="00A20361" w:rsidP="0048210B">
            <w:pPr>
              <w:jc w:val="right"/>
              <w:rPr>
                <w:sz w:val="20"/>
                <w:szCs w:val="20"/>
              </w:rPr>
            </w:pPr>
            <w:r w:rsidRPr="00F31BE4">
              <w:rPr>
                <w:sz w:val="20"/>
                <w:szCs w:val="20"/>
              </w:rPr>
              <w:t>7.09</w:t>
            </w:r>
          </w:p>
        </w:tc>
        <w:tc>
          <w:tcPr>
            <w:tcW w:w="1279" w:type="dxa"/>
            <w:shd w:val="clear" w:color="auto" w:fill="auto"/>
            <w:noWrap/>
            <w:vAlign w:val="bottom"/>
            <w:hideMark/>
          </w:tcPr>
          <w:p w14:paraId="557885EE" w14:textId="77777777" w:rsidR="00A20361" w:rsidRPr="00F31BE4" w:rsidRDefault="00A20361" w:rsidP="0048210B">
            <w:pPr>
              <w:jc w:val="right"/>
              <w:rPr>
                <w:sz w:val="20"/>
                <w:szCs w:val="20"/>
              </w:rPr>
            </w:pPr>
            <w:r w:rsidRPr="00F31BE4">
              <w:rPr>
                <w:sz w:val="20"/>
                <w:szCs w:val="20"/>
              </w:rPr>
              <w:t>7.57</w:t>
            </w:r>
          </w:p>
        </w:tc>
        <w:tc>
          <w:tcPr>
            <w:tcW w:w="1279" w:type="dxa"/>
            <w:shd w:val="clear" w:color="auto" w:fill="auto"/>
            <w:noWrap/>
            <w:vAlign w:val="bottom"/>
            <w:hideMark/>
          </w:tcPr>
          <w:p w14:paraId="0BB6DC7F" w14:textId="77777777" w:rsidR="00A20361" w:rsidRPr="00F31BE4" w:rsidRDefault="00A20361" w:rsidP="0048210B">
            <w:pPr>
              <w:jc w:val="right"/>
              <w:rPr>
                <w:sz w:val="20"/>
                <w:szCs w:val="20"/>
              </w:rPr>
            </w:pPr>
            <w:r w:rsidRPr="00F31BE4">
              <w:rPr>
                <w:sz w:val="20"/>
                <w:szCs w:val="20"/>
              </w:rPr>
              <w:t>9.45</w:t>
            </w:r>
          </w:p>
        </w:tc>
        <w:tc>
          <w:tcPr>
            <w:tcW w:w="1279" w:type="dxa"/>
            <w:shd w:val="clear" w:color="auto" w:fill="auto"/>
            <w:noWrap/>
            <w:vAlign w:val="bottom"/>
            <w:hideMark/>
          </w:tcPr>
          <w:p w14:paraId="0135B03C" w14:textId="77777777" w:rsidR="00A20361" w:rsidRPr="00F31BE4" w:rsidRDefault="00A20361" w:rsidP="0048210B">
            <w:pPr>
              <w:jc w:val="right"/>
              <w:rPr>
                <w:sz w:val="20"/>
                <w:szCs w:val="20"/>
              </w:rPr>
            </w:pPr>
            <w:r w:rsidRPr="00F31BE4">
              <w:rPr>
                <w:sz w:val="20"/>
                <w:szCs w:val="20"/>
              </w:rPr>
              <w:t>9.39</w:t>
            </w:r>
          </w:p>
        </w:tc>
        <w:tc>
          <w:tcPr>
            <w:tcW w:w="1279" w:type="dxa"/>
            <w:shd w:val="clear" w:color="auto" w:fill="auto"/>
            <w:noWrap/>
            <w:vAlign w:val="bottom"/>
            <w:hideMark/>
          </w:tcPr>
          <w:p w14:paraId="03B694D7" w14:textId="77777777" w:rsidR="00A20361" w:rsidRPr="00F31BE4" w:rsidRDefault="00A20361" w:rsidP="0048210B">
            <w:pPr>
              <w:jc w:val="right"/>
              <w:rPr>
                <w:sz w:val="20"/>
                <w:szCs w:val="20"/>
              </w:rPr>
            </w:pPr>
            <w:r w:rsidRPr="00F31BE4">
              <w:rPr>
                <w:sz w:val="20"/>
                <w:szCs w:val="20"/>
              </w:rPr>
              <w:t>12.07</w:t>
            </w:r>
          </w:p>
        </w:tc>
        <w:tc>
          <w:tcPr>
            <w:tcW w:w="1279" w:type="dxa"/>
            <w:shd w:val="clear" w:color="auto" w:fill="auto"/>
            <w:noWrap/>
            <w:vAlign w:val="bottom"/>
            <w:hideMark/>
          </w:tcPr>
          <w:p w14:paraId="0E78A193" w14:textId="77777777" w:rsidR="00A20361" w:rsidRPr="00F31BE4" w:rsidRDefault="00A20361" w:rsidP="0048210B">
            <w:pPr>
              <w:jc w:val="right"/>
              <w:rPr>
                <w:sz w:val="20"/>
                <w:szCs w:val="20"/>
              </w:rPr>
            </w:pPr>
            <w:r w:rsidRPr="00F31BE4">
              <w:rPr>
                <w:sz w:val="20"/>
                <w:szCs w:val="20"/>
              </w:rPr>
              <w:t>11.16</w:t>
            </w:r>
          </w:p>
        </w:tc>
      </w:tr>
      <w:tr w:rsidR="00A20361" w14:paraId="31CFBBDF" w14:textId="77777777" w:rsidTr="0048210B">
        <w:trPr>
          <w:trHeight w:val="256"/>
          <w:jc w:val="center"/>
        </w:trPr>
        <w:tc>
          <w:tcPr>
            <w:tcW w:w="2178" w:type="dxa"/>
            <w:shd w:val="clear" w:color="auto" w:fill="auto"/>
            <w:noWrap/>
            <w:vAlign w:val="bottom"/>
            <w:hideMark/>
          </w:tcPr>
          <w:p w14:paraId="29AC1E79" w14:textId="77777777" w:rsidR="00A20361" w:rsidRPr="00F31BE4" w:rsidRDefault="00A20361" w:rsidP="0048210B">
            <w:pPr>
              <w:jc w:val="right"/>
              <w:rPr>
                <w:sz w:val="20"/>
                <w:szCs w:val="20"/>
              </w:rPr>
            </w:pPr>
          </w:p>
        </w:tc>
        <w:tc>
          <w:tcPr>
            <w:tcW w:w="1279" w:type="dxa"/>
            <w:shd w:val="clear" w:color="auto" w:fill="auto"/>
            <w:noWrap/>
            <w:vAlign w:val="bottom"/>
            <w:hideMark/>
          </w:tcPr>
          <w:p w14:paraId="4B19C134" w14:textId="77777777" w:rsidR="00A20361" w:rsidRPr="00F31BE4" w:rsidRDefault="00A20361" w:rsidP="0048210B">
            <w:pPr>
              <w:jc w:val="right"/>
              <w:rPr>
                <w:sz w:val="20"/>
                <w:szCs w:val="20"/>
              </w:rPr>
            </w:pPr>
            <w:r>
              <w:rPr>
                <w:sz w:val="20"/>
                <w:szCs w:val="20"/>
              </w:rPr>
              <w:t>(</w:t>
            </w:r>
            <w:r w:rsidRPr="00F31BE4">
              <w:rPr>
                <w:sz w:val="20"/>
                <w:szCs w:val="20"/>
              </w:rPr>
              <w:t>1.3</w:t>
            </w:r>
            <w:r>
              <w:rPr>
                <w:sz w:val="20"/>
                <w:szCs w:val="20"/>
              </w:rPr>
              <w:t>)</w:t>
            </w:r>
          </w:p>
        </w:tc>
        <w:tc>
          <w:tcPr>
            <w:tcW w:w="1279" w:type="dxa"/>
            <w:shd w:val="clear" w:color="auto" w:fill="auto"/>
            <w:noWrap/>
            <w:vAlign w:val="bottom"/>
            <w:hideMark/>
          </w:tcPr>
          <w:p w14:paraId="3615B90A" w14:textId="77777777" w:rsidR="00A20361" w:rsidRPr="00F31BE4" w:rsidRDefault="00A20361" w:rsidP="0048210B">
            <w:pPr>
              <w:jc w:val="right"/>
              <w:rPr>
                <w:sz w:val="20"/>
                <w:szCs w:val="20"/>
              </w:rPr>
            </w:pPr>
            <w:r>
              <w:rPr>
                <w:sz w:val="20"/>
                <w:szCs w:val="20"/>
              </w:rPr>
              <w:t>(</w:t>
            </w:r>
            <w:r w:rsidRPr="00F31BE4">
              <w:rPr>
                <w:sz w:val="20"/>
                <w:szCs w:val="20"/>
              </w:rPr>
              <w:t>2.16</w:t>
            </w:r>
            <w:r>
              <w:rPr>
                <w:sz w:val="20"/>
                <w:szCs w:val="20"/>
              </w:rPr>
              <w:t>)</w:t>
            </w:r>
          </w:p>
        </w:tc>
        <w:tc>
          <w:tcPr>
            <w:tcW w:w="1279" w:type="dxa"/>
            <w:shd w:val="clear" w:color="auto" w:fill="auto"/>
            <w:noWrap/>
            <w:vAlign w:val="bottom"/>
            <w:hideMark/>
          </w:tcPr>
          <w:p w14:paraId="7A68839B" w14:textId="77777777" w:rsidR="00A20361" w:rsidRPr="00F31BE4" w:rsidRDefault="00A20361" w:rsidP="0048210B">
            <w:pPr>
              <w:jc w:val="right"/>
              <w:rPr>
                <w:sz w:val="20"/>
                <w:szCs w:val="20"/>
              </w:rPr>
            </w:pPr>
            <w:r>
              <w:rPr>
                <w:sz w:val="20"/>
                <w:szCs w:val="20"/>
              </w:rPr>
              <w:t>(</w:t>
            </w:r>
            <w:r w:rsidRPr="00F31BE4">
              <w:rPr>
                <w:sz w:val="20"/>
                <w:szCs w:val="20"/>
              </w:rPr>
              <w:t>1.86</w:t>
            </w:r>
            <w:r>
              <w:rPr>
                <w:sz w:val="20"/>
                <w:szCs w:val="20"/>
              </w:rPr>
              <w:t>)</w:t>
            </w:r>
          </w:p>
        </w:tc>
        <w:tc>
          <w:tcPr>
            <w:tcW w:w="1279" w:type="dxa"/>
            <w:shd w:val="clear" w:color="auto" w:fill="auto"/>
            <w:noWrap/>
            <w:vAlign w:val="bottom"/>
            <w:hideMark/>
          </w:tcPr>
          <w:p w14:paraId="168DBC62" w14:textId="77777777" w:rsidR="00A20361" w:rsidRPr="00F31BE4" w:rsidRDefault="00A20361" w:rsidP="0048210B">
            <w:pPr>
              <w:jc w:val="right"/>
              <w:rPr>
                <w:sz w:val="20"/>
                <w:szCs w:val="20"/>
              </w:rPr>
            </w:pPr>
            <w:r>
              <w:rPr>
                <w:sz w:val="20"/>
                <w:szCs w:val="20"/>
              </w:rPr>
              <w:t>(</w:t>
            </w:r>
            <w:r w:rsidRPr="00F31BE4">
              <w:rPr>
                <w:sz w:val="20"/>
                <w:szCs w:val="20"/>
              </w:rPr>
              <w:t>1.72</w:t>
            </w:r>
            <w:r>
              <w:rPr>
                <w:sz w:val="20"/>
                <w:szCs w:val="20"/>
              </w:rPr>
              <w:t>)</w:t>
            </w:r>
          </w:p>
        </w:tc>
        <w:tc>
          <w:tcPr>
            <w:tcW w:w="1279" w:type="dxa"/>
            <w:shd w:val="clear" w:color="auto" w:fill="auto"/>
            <w:noWrap/>
            <w:vAlign w:val="bottom"/>
            <w:hideMark/>
          </w:tcPr>
          <w:p w14:paraId="5680C4CE" w14:textId="77777777" w:rsidR="00A20361" w:rsidRPr="00F31BE4" w:rsidRDefault="00A20361" w:rsidP="0048210B">
            <w:pPr>
              <w:jc w:val="right"/>
              <w:rPr>
                <w:sz w:val="20"/>
                <w:szCs w:val="20"/>
              </w:rPr>
            </w:pPr>
            <w:r>
              <w:rPr>
                <w:sz w:val="20"/>
                <w:szCs w:val="20"/>
              </w:rPr>
              <w:t>(</w:t>
            </w:r>
            <w:r w:rsidRPr="00F31BE4">
              <w:rPr>
                <w:sz w:val="20"/>
                <w:szCs w:val="20"/>
              </w:rPr>
              <w:t>3.32</w:t>
            </w:r>
            <w:r>
              <w:rPr>
                <w:sz w:val="20"/>
                <w:szCs w:val="20"/>
              </w:rPr>
              <w:t>)</w:t>
            </w:r>
          </w:p>
        </w:tc>
        <w:tc>
          <w:tcPr>
            <w:tcW w:w="1279" w:type="dxa"/>
            <w:shd w:val="clear" w:color="auto" w:fill="auto"/>
            <w:noWrap/>
            <w:vAlign w:val="bottom"/>
            <w:hideMark/>
          </w:tcPr>
          <w:p w14:paraId="250AFE6F" w14:textId="77777777" w:rsidR="00A20361" w:rsidRPr="00F31BE4" w:rsidRDefault="00A20361" w:rsidP="0048210B">
            <w:pPr>
              <w:jc w:val="right"/>
              <w:rPr>
                <w:sz w:val="20"/>
                <w:szCs w:val="20"/>
              </w:rPr>
            </w:pPr>
            <w:r>
              <w:rPr>
                <w:sz w:val="20"/>
                <w:szCs w:val="20"/>
              </w:rPr>
              <w:t>(</w:t>
            </w:r>
            <w:r w:rsidRPr="00F31BE4">
              <w:rPr>
                <w:sz w:val="20"/>
                <w:szCs w:val="20"/>
              </w:rPr>
              <w:t>2.45</w:t>
            </w:r>
            <w:r>
              <w:rPr>
                <w:sz w:val="20"/>
                <w:szCs w:val="20"/>
              </w:rPr>
              <w:t>)</w:t>
            </w:r>
          </w:p>
        </w:tc>
      </w:tr>
      <w:tr w:rsidR="00A20361" w14:paraId="02359D7A" w14:textId="77777777" w:rsidTr="0048210B">
        <w:trPr>
          <w:trHeight w:val="256"/>
          <w:jc w:val="center"/>
        </w:trPr>
        <w:tc>
          <w:tcPr>
            <w:tcW w:w="2178" w:type="dxa"/>
            <w:shd w:val="clear" w:color="auto" w:fill="auto"/>
            <w:noWrap/>
            <w:vAlign w:val="bottom"/>
            <w:hideMark/>
          </w:tcPr>
          <w:p w14:paraId="096721CC" w14:textId="77777777" w:rsidR="00A20361" w:rsidRPr="00F31BE4" w:rsidRDefault="00A20361" w:rsidP="0048210B">
            <w:pPr>
              <w:rPr>
                <w:sz w:val="20"/>
                <w:szCs w:val="20"/>
              </w:rPr>
            </w:pPr>
            <w:r w:rsidRPr="00F31BE4">
              <w:rPr>
                <w:sz w:val="20"/>
                <w:szCs w:val="20"/>
              </w:rPr>
              <w:t>Total federal revenue per pupil (in k$)</w:t>
            </w:r>
          </w:p>
        </w:tc>
        <w:tc>
          <w:tcPr>
            <w:tcW w:w="1279" w:type="dxa"/>
            <w:shd w:val="clear" w:color="auto" w:fill="auto"/>
            <w:noWrap/>
            <w:vAlign w:val="bottom"/>
            <w:hideMark/>
          </w:tcPr>
          <w:p w14:paraId="54884309" w14:textId="77777777" w:rsidR="00A20361" w:rsidRPr="00F31BE4" w:rsidRDefault="00A20361" w:rsidP="0048210B">
            <w:pPr>
              <w:jc w:val="right"/>
              <w:rPr>
                <w:sz w:val="20"/>
                <w:szCs w:val="20"/>
              </w:rPr>
            </w:pPr>
            <w:r w:rsidRPr="00F31BE4">
              <w:rPr>
                <w:sz w:val="20"/>
                <w:szCs w:val="20"/>
              </w:rPr>
              <w:t>0.4</w:t>
            </w:r>
          </w:p>
        </w:tc>
        <w:tc>
          <w:tcPr>
            <w:tcW w:w="1279" w:type="dxa"/>
            <w:shd w:val="clear" w:color="auto" w:fill="auto"/>
            <w:noWrap/>
            <w:vAlign w:val="bottom"/>
            <w:hideMark/>
          </w:tcPr>
          <w:p w14:paraId="0A808564" w14:textId="77777777" w:rsidR="00A20361" w:rsidRPr="00F31BE4" w:rsidRDefault="00A20361" w:rsidP="0048210B">
            <w:pPr>
              <w:jc w:val="right"/>
              <w:rPr>
                <w:sz w:val="20"/>
                <w:szCs w:val="20"/>
              </w:rPr>
            </w:pPr>
            <w:r w:rsidRPr="00F31BE4">
              <w:rPr>
                <w:sz w:val="20"/>
                <w:szCs w:val="20"/>
              </w:rPr>
              <w:t>0.42</w:t>
            </w:r>
          </w:p>
        </w:tc>
        <w:tc>
          <w:tcPr>
            <w:tcW w:w="1279" w:type="dxa"/>
            <w:shd w:val="clear" w:color="auto" w:fill="auto"/>
            <w:noWrap/>
            <w:vAlign w:val="bottom"/>
            <w:hideMark/>
          </w:tcPr>
          <w:p w14:paraId="7F8A0DFD" w14:textId="77777777" w:rsidR="00A20361" w:rsidRPr="00F31BE4" w:rsidRDefault="00A20361" w:rsidP="0048210B">
            <w:pPr>
              <w:jc w:val="right"/>
              <w:rPr>
                <w:sz w:val="20"/>
                <w:szCs w:val="20"/>
              </w:rPr>
            </w:pPr>
            <w:r w:rsidRPr="00F31BE4">
              <w:rPr>
                <w:sz w:val="20"/>
                <w:szCs w:val="20"/>
              </w:rPr>
              <w:t>0.68</w:t>
            </w:r>
          </w:p>
        </w:tc>
        <w:tc>
          <w:tcPr>
            <w:tcW w:w="1279" w:type="dxa"/>
            <w:shd w:val="clear" w:color="auto" w:fill="auto"/>
            <w:noWrap/>
            <w:vAlign w:val="bottom"/>
            <w:hideMark/>
          </w:tcPr>
          <w:p w14:paraId="6E4799BE" w14:textId="77777777" w:rsidR="00A20361" w:rsidRPr="00F31BE4" w:rsidRDefault="00A20361" w:rsidP="0048210B">
            <w:pPr>
              <w:jc w:val="right"/>
              <w:rPr>
                <w:sz w:val="20"/>
                <w:szCs w:val="20"/>
              </w:rPr>
            </w:pPr>
            <w:r w:rsidRPr="00F31BE4">
              <w:rPr>
                <w:sz w:val="20"/>
                <w:szCs w:val="20"/>
              </w:rPr>
              <w:t>0.59</w:t>
            </w:r>
          </w:p>
        </w:tc>
        <w:tc>
          <w:tcPr>
            <w:tcW w:w="1279" w:type="dxa"/>
            <w:shd w:val="clear" w:color="auto" w:fill="auto"/>
            <w:noWrap/>
            <w:vAlign w:val="bottom"/>
            <w:hideMark/>
          </w:tcPr>
          <w:p w14:paraId="4BE21186" w14:textId="77777777" w:rsidR="00A20361" w:rsidRPr="00F31BE4" w:rsidRDefault="00A20361" w:rsidP="0048210B">
            <w:pPr>
              <w:jc w:val="right"/>
              <w:rPr>
                <w:sz w:val="20"/>
                <w:szCs w:val="20"/>
              </w:rPr>
            </w:pPr>
            <w:r w:rsidRPr="00F31BE4">
              <w:rPr>
                <w:sz w:val="20"/>
                <w:szCs w:val="20"/>
              </w:rPr>
              <w:t>1.01</w:t>
            </w:r>
          </w:p>
        </w:tc>
        <w:tc>
          <w:tcPr>
            <w:tcW w:w="1279" w:type="dxa"/>
            <w:shd w:val="clear" w:color="auto" w:fill="auto"/>
            <w:noWrap/>
            <w:vAlign w:val="bottom"/>
            <w:hideMark/>
          </w:tcPr>
          <w:p w14:paraId="3AC71321" w14:textId="77777777" w:rsidR="00A20361" w:rsidRPr="00F31BE4" w:rsidRDefault="00A20361" w:rsidP="0048210B">
            <w:pPr>
              <w:jc w:val="right"/>
              <w:rPr>
                <w:sz w:val="20"/>
                <w:szCs w:val="20"/>
              </w:rPr>
            </w:pPr>
            <w:r w:rsidRPr="00F31BE4">
              <w:rPr>
                <w:sz w:val="20"/>
                <w:szCs w:val="20"/>
              </w:rPr>
              <w:t>0.83</w:t>
            </w:r>
          </w:p>
        </w:tc>
      </w:tr>
      <w:tr w:rsidR="00A20361" w14:paraId="2021B1E6" w14:textId="77777777" w:rsidTr="0048210B">
        <w:trPr>
          <w:trHeight w:val="256"/>
          <w:jc w:val="center"/>
        </w:trPr>
        <w:tc>
          <w:tcPr>
            <w:tcW w:w="2178" w:type="dxa"/>
            <w:shd w:val="clear" w:color="auto" w:fill="auto"/>
            <w:noWrap/>
            <w:vAlign w:val="bottom"/>
            <w:hideMark/>
          </w:tcPr>
          <w:p w14:paraId="5DE7058B" w14:textId="77777777" w:rsidR="00A20361" w:rsidRPr="00F31BE4" w:rsidRDefault="00A20361" w:rsidP="0048210B">
            <w:pPr>
              <w:jc w:val="right"/>
              <w:rPr>
                <w:sz w:val="20"/>
                <w:szCs w:val="20"/>
              </w:rPr>
            </w:pPr>
          </w:p>
        </w:tc>
        <w:tc>
          <w:tcPr>
            <w:tcW w:w="1279" w:type="dxa"/>
            <w:shd w:val="clear" w:color="auto" w:fill="auto"/>
            <w:noWrap/>
            <w:vAlign w:val="bottom"/>
            <w:hideMark/>
          </w:tcPr>
          <w:p w14:paraId="02CC967F" w14:textId="77777777" w:rsidR="00A20361" w:rsidRPr="00F31BE4" w:rsidRDefault="00A20361" w:rsidP="0048210B">
            <w:pPr>
              <w:jc w:val="right"/>
              <w:rPr>
                <w:sz w:val="20"/>
                <w:szCs w:val="20"/>
              </w:rPr>
            </w:pPr>
            <w:r>
              <w:rPr>
                <w:sz w:val="20"/>
                <w:szCs w:val="20"/>
              </w:rPr>
              <w:t>(</w:t>
            </w:r>
            <w:r w:rsidRPr="00F31BE4">
              <w:rPr>
                <w:sz w:val="20"/>
                <w:szCs w:val="20"/>
              </w:rPr>
              <w:t>0.19</w:t>
            </w:r>
            <w:r>
              <w:rPr>
                <w:sz w:val="20"/>
                <w:szCs w:val="20"/>
              </w:rPr>
              <w:t>)</w:t>
            </w:r>
          </w:p>
        </w:tc>
        <w:tc>
          <w:tcPr>
            <w:tcW w:w="1279" w:type="dxa"/>
            <w:shd w:val="clear" w:color="auto" w:fill="auto"/>
            <w:noWrap/>
            <w:vAlign w:val="bottom"/>
            <w:hideMark/>
          </w:tcPr>
          <w:p w14:paraId="7DB626F4" w14:textId="77777777" w:rsidR="00A20361" w:rsidRPr="00F31BE4" w:rsidRDefault="00A20361" w:rsidP="0048210B">
            <w:pPr>
              <w:jc w:val="right"/>
              <w:rPr>
                <w:sz w:val="20"/>
                <w:szCs w:val="20"/>
              </w:rPr>
            </w:pPr>
            <w:r>
              <w:rPr>
                <w:sz w:val="20"/>
                <w:szCs w:val="20"/>
              </w:rPr>
              <w:t>(</w:t>
            </w:r>
            <w:r w:rsidRPr="00F31BE4">
              <w:rPr>
                <w:sz w:val="20"/>
                <w:szCs w:val="20"/>
              </w:rPr>
              <w:t>0.14</w:t>
            </w:r>
            <w:r>
              <w:rPr>
                <w:sz w:val="20"/>
                <w:szCs w:val="20"/>
              </w:rPr>
              <w:t>)</w:t>
            </w:r>
          </w:p>
        </w:tc>
        <w:tc>
          <w:tcPr>
            <w:tcW w:w="1279" w:type="dxa"/>
            <w:shd w:val="clear" w:color="auto" w:fill="auto"/>
            <w:noWrap/>
            <w:vAlign w:val="bottom"/>
            <w:hideMark/>
          </w:tcPr>
          <w:p w14:paraId="50014DE9" w14:textId="77777777" w:rsidR="00A20361" w:rsidRPr="00F31BE4" w:rsidRDefault="00A20361" w:rsidP="0048210B">
            <w:pPr>
              <w:jc w:val="right"/>
              <w:rPr>
                <w:sz w:val="20"/>
                <w:szCs w:val="20"/>
              </w:rPr>
            </w:pPr>
            <w:r>
              <w:rPr>
                <w:sz w:val="20"/>
                <w:szCs w:val="20"/>
              </w:rPr>
              <w:t>(</w:t>
            </w:r>
            <w:r w:rsidRPr="00F31BE4">
              <w:rPr>
                <w:sz w:val="20"/>
                <w:szCs w:val="20"/>
              </w:rPr>
              <w:t>0.27</w:t>
            </w:r>
            <w:r>
              <w:rPr>
                <w:sz w:val="20"/>
                <w:szCs w:val="20"/>
              </w:rPr>
              <w:t>)</w:t>
            </w:r>
          </w:p>
        </w:tc>
        <w:tc>
          <w:tcPr>
            <w:tcW w:w="1279" w:type="dxa"/>
            <w:shd w:val="clear" w:color="auto" w:fill="auto"/>
            <w:noWrap/>
            <w:vAlign w:val="bottom"/>
            <w:hideMark/>
          </w:tcPr>
          <w:p w14:paraId="5D16CA5F" w14:textId="77777777" w:rsidR="00A20361" w:rsidRPr="00F31BE4" w:rsidRDefault="00A20361" w:rsidP="0048210B">
            <w:pPr>
              <w:jc w:val="right"/>
              <w:rPr>
                <w:sz w:val="20"/>
                <w:szCs w:val="20"/>
              </w:rPr>
            </w:pPr>
            <w:r>
              <w:rPr>
                <w:sz w:val="20"/>
                <w:szCs w:val="20"/>
              </w:rPr>
              <w:t>(</w:t>
            </w:r>
            <w:r w:rsidRPr="00F31BE4">
              <w:rPr>
                <w:sz w:val="20"/>
                <w:szCs w:val="20"/>
              </w:rPr>
              <w:t>0.17</w:t>
            </w:r>
            <w:r>
              <w:rPr>
                <w:sz w:val="20"/>
                <w:szCs w:val="20"/>
              </w:rPr>
              <w:t>)</w:t>
            </w:r>
          </w:p>
        </w:tc>
        <w:tc>
          <w:tcPr>
            <w:tcW w:w="1279" w:type="dxa"/>
            <w:shd w:val="clear" w:color="auto" w:fill="auto"/>
            <w:noWrap/>
            <w:vAlign w:val="bottom"/>
            <w:hideMark/>
          </w:tcPr>
          <w:p w14:paraId="4E5E7979" w14:textId="77777777" w:rsidR="00A20361" w:rsidRPr="00F31BE4" w:rsidRDefault="00A20361" w:rsidP="0048210B">
            <w:pPr>
              <w:jc w:val="right"/>
              <w:rPr>
                <w:sz w:val="20"/>
                <w:szCs w:val="20"/>
              </w:rPr>
            </w:pPr>
            <w:r>
              <w:rPr>
                <w:sz w:val="20"/>
                <w:szCs w:val="20"/>
              </w:rPr>
              <w:t>(</w:t>
            </w:r>
            <w:r w:rsidRPr="00F31BE4">
              <w:rPr>
                <w:sz w:val="20"/>
                <w:szCs w:val="20"/>
              </w:rPr>
              <w:t>0.47</w:t>
            </w:r>
            <w:r>
              <w:rPr>
                <w:sz w:val="20"/>
                <w:szCs w:val="20"/>
              </w:rPr>
              <w:t>)</w:t>
            </w:r>
          </w:p>
        </w:tc>
        <w:tc>
          <w:tcPr>
            <w:tcW w:w="1279" w:type="dxa"/>
            <w:shd w:val="clear" w:color="auto" w:fill="auto"/>
            <w:noWrap/>
            <w:vAlign w:val="bottom"/>
            <w:hideMark/>
          </w:tcPr>
          <w:p w14:paraId="1967046E" w14:textId="77777777" w:rsidR="00A20361" w:rsidRPr="00F31BE4" w:rsidRDefault="00A20361" w:rsidP="0048210B">
            <w:pPr>
              <w:jc w:val="right"/>
              <w:rPr>
                <w:sz w:val="20"/>
                <w:szCs w:val="20"/>
              </w:rPr>
            </w:pPr>
            <w:r>
              <w:rPr>
                <w:sz w:val="20"/>
                <w:szCs w:val="20"/>
              </w:rPr>
              <w:t>(</w:t>
            </w:r>
            <w:r w:rsidRPr="00F31BE4">
              <w:rPr>
                <w:sz w:val="20"/>
                <w:szCs w:val="20"/>
              </w:rPr>
              <w:t>0.21</w:t>
            </w:r>
            <w:r>
              <w:rPr>
                <w:sz w:val="20"/>
                <w:szCs w:val="20"/>
              </w:rPr>
              <w:t>)</w:t>
            </w:r>
          </w:p>
        </w:tc>
      </w:tr>
      <w:tr w:rsidR="00A20361" w14:paraId="45180C96" w14:textId="77777777" w:rsidTr="0048210B">
        <w:trPr>
          <w:trHeight w:val="256"/>
          <w:jc w:val="center"/>
        </w:trPr>
        <w:tc>
          <w:tcPr>
            <w:tcW w:w="2178" w:type="dxa"/>
            <w:shd w:val="clear" w:color="auto" w:fill="auto"/>
            <w:noWrap/>
            <w:vAlign w:val="bottom"/>
            <w:hideMark/>
          </w:tcPr>
          <w:p w14:paraId="47B29866" w14:textId="77777777" w:rsidR="00A20361" w:rsidRPr="00F31BE4" w:rsidRDefault="00A20361" w:rsidP="0048210B">
            <w:pPr>
              <w:rPr>
                <w:sz w:val="20"/>
                <w:szCs w:val="20"/>
              </w:rPr>
            </w:pPr>
            <w:r w:rsidRPr="00F31BE4">
              <w:rPr>
                <w:sz w:val="20"/>
                <w:szCs w:val="20"/>
              </w:rPr>
              <w:t>Total state revenue per pupil (in k$)</w:t>
            </w:r>
          </w:p>
        </w:tc>
        <w:tc>
          <w:tcPr>
            <w:tcW w:w="1279" w:type="dxa"/>
            <w:shd w:val="clear" w:color="auto" w:fill="auto"/>
            <w:noWrap/>
            <w:vAlign w:val="bottom"/>
            <w:hideMark/>
          </w:tcPr>
          <w:p w14:paraId="298D64B6" w14:textId="77777777" w:rsidR="00A20361" w:rsidRPr="00F31BE4" w:rsidRDefault="00A20361" w:rsidP="0048210B">
            <w:pPr>
              <w:jc w:val="right"/>
              <w:rPr>
                <w:sz w:val="20"/>
                <w:szCs w:val="20"/>
              </w:rPr>
            </w:pPr>
            <w:r w:rsidRPr="00F31BE4">
              <w:rPr>
                <w:sz w:val="20"/>
                <w:szCs w:val="20"/>
              </w:rPr>
              <w:t>3.23</w:t>
            </w:r>
          </w:p>
        </w:tc>
        <w:tc>
          <w:tcPr>
            <w:tcW w:w="1279" w:type="dxa"/>
            <w:shd w:val="clear" w:color="auto" w:fill="auto"/>
            <w:noWrap/>
            <w:vAlign w:val="bottom"/>
            <w:hideMark/>
          </w:tcPr>
          <w:p w14:paraId="305D63EC" w14:textId="77777777" w:rsidR="00A20361" w:rsidRPr="00F31BE4" w:rsidRDefault="00A20361" w:rsidP="0048210B">
            <w:pPr>
              <w:jc w:val="right"/>
              <w:rPr>
                <w:sz w:val="20"/>
                <w:szCs w:val="20"/>
              </w:rPr>
            </w:pPr>
            <w:r w:rsidRPr="00F31BE4">
              <w:rPr>
                <w:sz w:val="20"/>
                <w:szCs w:val="20"/>
              </w:rPr>
              <w:t>3.36</w:t>
            </w:r>
          </w:p>
        </w:tc>
        <w:tc>
          <w:tcPr>
            <w:tcW w:w="1279" w:type="dxa"/>
            <w:shd w:val="clear" w:color="auto" w:fill="auto"/>
            <w:noWrap/>
            <w:vAlign w:val="bottom"/>
            <w:hideMark/>
          </w:tcPr>
          <w:p w14:paraId="09CF2B5B" w14:textId="77777777" w:rsidR="00A20361" w:rsidRPr="00F31BE4" w:rsidRDefault="00A20361" w:rsidP="0048210B">
            <w:pPr>
              <w:jc w:val="right"/>
              <w:rPr>
                <w:sz w:val="20"/>
                <w:szCs w:val="20"/>
              </w:rPr>
            </w:pPr>
            <w:r w:rsidRPr="00F31BE4">
              <w:rPr>
                <w:sz w:val="20"/>
                <w:szCs w:val="20"/>
              </w:rPr>
              <w:t>4.38</w:t>
            </w:r>
          </w:p>
        </w:tc>
        <w:tc>
          <w:tcPr>
            <w:tcW w:w="1279" w:type="dxa"/>
            <w:shd w:val="clear" w:color="auto" w:fill="auto"/>
            <w:noWrap/>
            <w:vAlign w:val="bottom"/>
            <w:hideMark/>
          </w:tcPr>
          <w:p w14:paraId="6BBEF4A2" w14:textId="77777777" w:rsidR="00A20361" w:rsidRPr="00F31BE4" w:rsidRDefault="00A20361" w:rsidP="0048210B">
            <w:pPr>
              <w:jc w:val="right"/>
              <w:rPr>
                <w:sz w:val="20"/>
                <w:szCs w:val="20"/>
              </w:rPr>
            </w:pPr>
            <w:r w:rsidRPr="00F31BE4">
              <w:rPr>
                <w:sz w:val="20"/>
                <w:szCs w:val="20"/>
              </w:rPr>
              <w:t>4.62</w:t>
            </w:r>
          </w:p>
        </w:tc>
        <w:tc>
          <w:tcPr>
            <w:tcW w:w="1279" w:type="dxa"/>
            <w:shd w:val="clear" w:color="auto" w:fill="auto"/>
            <w:noWrap/>
            <w:vAlign w:val="bottom"/>
            <w:hideMark/>
          </w:tcPr>
          <w:p w14:paraId="17BBDBFF" w14:textId="77777777" w:rsidR="00A20361" w:rsidRPr="00F31BE4" w:rsidRDefault="00A20361" w:rsidP="0048210B">
            <w:pPr>
              <w:jc w:val="right"/>
              <w:rPr>
                <w:sz w:val="20"/>
                <w:szCs w:val="20"/>
              </w:rPr>
            </w:pPr>
            <w:r w:rsidRPr="00F31BE4">
              <w:rPr>
                <w:sz w:val="20"/>
                <w:szCs w:val="20"/>
              </w:rPr>
              <w:t>5.22</w:t>
            </w:r>
          </w:p>
        </w:tc>
        <w:tc>
          <w:tcPr>
            <w:tcW w:w="1279" w:type="dxa"/>
            <w:shd w:val="clear" w:color="auto" w:fill="auto"/>
            <w:noWrap/>
            <w:vAlign w:val="bottom"/>
            <w:hideMark/>
          </w:tcPr>
          <w:p w14:paraId="1CF383E8" w14:textId="77777777" w:rsidR="00A20361" w:rsidRPr="00F31BE4" w:rsidRDefault="00A20361" w:rsidP="0048210B">
            <w:pPr>
              <w:jc w:val="right"/>
              <w:rPr>
                <w:sz w:val="20"/>
                <w:szCs w:val="20"/>
              </w:rPr>
            </w:pPr>
            <w:r w:rsidRPr="00F31BE4">
              <w:rPr>
                <w:sz w:val="20"/>
                <w:szCs w:val="20"/>
              </w:rPr>
              <w:t>5.36</w:t>
            </w:r>
          </w:p>
        </w:tc>
      </w:tr>
      <w:tr w:rsidR="00A20361" w14:paraId="0B8BB44C" w14:textId="77777777" w:rsidTr="0048210B">
        <w:trPr>
          <w:trHeight w:val="256"/>
          <w:jc w:val="center"/>
        </w:trPr>
        <w:tc>
          <w:tcPr>
            <w:tcW w:w="2178" w:type="dxa"/>
            <w:shd w:val="clear" w:color="auto" w:fill="auto"/>
            <w:noWrap/>
            <w:vAlign w:val="bottom"/>
            <w:hideMark/>
          </w:tcPr>
          <w:p w14:paraId="46A79DE6" w14:textId="77777777" w:rsidR="00A20361" w:rsidRPr="00F31BE4" w:rsidRDefault="00A20361" w:rsidP="0048210B">
            <w:pPr>
              <w:jc w:val="right"/>
              <w:rPr>
                <w:sz w:val="20"/>
                <w:szCs w:val="20"/>
              </w:rPr>
            </w:pPr>
          </w:p>
        </w:tc>
        <w:tc>
          <w:tcPr>
            <w:tcW w:w="1279" w:type="dxa"/>
            <w:shd w:val="clear" w:color="auto" w:fill="auto"/>
            <w:noWrap/>
            <w:vAlign w:val="bottom"/>
            <w:hideMark/>
          </w:tcPr>
          <w:p w14:paraId="27615E5E" w14:textId="77777777" w:rsidR="00A20361" w:rsidRPr="00F31BE4" w:rsidRDefault="00A20361" w:rsidP="0048210B">
            <w:pPr>
              <w:jc w:val="right"/>
              <w:rPr>
                <w:sz w:val="20"/>
                <w:szCs w:val="20"/>
              </w:rPr>
            </w:pPr>
            <w:r>
              <w:rPr>
                <w:sz w:val="20"/>
                <w:szCs w:val="20"/>
              </w:rPr>
              <w:t>(</w:t>
            </w:r>
            <w:r w:rsidRPr="00F31BE4">
              <w:rPr>
                <w:sz w:val="20"/>
                <w:szCs w:val="20"/>
              </w:rPr>
              <w:t>1.03</w:t>
            </w:r>
            <w:r>
              <w:rPr>
                <w:sz w:val="20"/>
                <w:szCs w:val="20"/>
              </w:rPr>
              <w:t>)</w:t>
            </w:r>
          </w:p>
        </w:tc>
        <w:tc>
          <w:tcPr>
            <w:tcW w:w="1279" w:type="dxa"/>
            <w:shd w:val="clear" w:color="auto" w:fill="auto"/>
            <w:noWrap/>
            <w:vAlign w:val="bottom"/>
            <w:hideMark/>
          </w:tcPr>
          <w:p w14:paraId="5D6DFF82" w14:textId="77777777" w:rsidR="00A20361" w:rsidRPr="00F31BE4" w:rsidRDefault="00A20361" w:rsidP="0048210B">
            <w:pPr>
              <w:jc w:val="right"/>
              <w:rPr>
                <w:sz w:val="20"/>
                <w:szCs w:val="20"/>
              </w:rPr>
            </w:pPr>
            <w:r>
              <w:rPr>
                <w:sz w:val="20"/>
                <w:szCs w:val="20"/>
              </w:rPr>
              <w:t>(</w:t>
            </w:r>
            <w:r w:rsidRPr="00F31BE4">
              <w:rPr>
                <w:sz w:val="20"/>
                <w:szCs w:val="20"/>
              </w:rPr>
              <w:t>0.98</w:t>
            </w:r>
            <w:r>
              <w:rPr>
                <w:sz w:val="20"/>
                <w:szCs w:val="20"/>
              </w:rPr>
              <w:t>)</w:t>
            </w:r>
          </w:p>
        </w:tc>
        <w:tc>
          <w:tcPr>
            <w:tcW w:w="1279" w:type="dxa"/>
            <w:shd w:val="clear" w:color="auto" w:fill="auto"/>
            <w:noWrap/>
            <w:vAlign w:val="bottom"/>
            <w:hideMark/>
          </w:tcPr>
          <w:p w14:paraId="5FF00361" w14:textId="77777777" w:rsidR="00A20361" w:rsidRPr="00F31BE4" w:rsidRDefault="00A20361" w:rsidP="0048210B">
            <w:pPr>
              <w:jc w:val="right"/>
              <w:rPr>
                <w:sz w:val="20"/>
                <w:szCs w:val="20"/>
              </w:rPr>
            </w:pPr>
            <w:r>
              <w:rPr>
                <w:sz w:val="20"/>
                <w:szCs w:val="20"/>
              </w:rPr>
              <w:t>(</w:t>
            </w:r>
            <w:r w:rsidRPr="00F31BE4">
              <w:rPr>
                <w:sz w:val="20"/>
                <w:szCs w:val="20"/>
              </w:rPr>
              <w:t>0.95</w:t>
            </w:r>
            <w:r>
              <w:rPr>
                <w:sz w:val="20"/>
                <w:szCs w:val="20"/>
              </w:rPr>
              <w:t>)</w:t>
            </w:r>
          </w:p>
        </w:tc>
        <w:tc>
          <w:tcPr>
            <w:tcW w:w="1279" w:type="dxa"/>
            <w:shd w:val="clear" w:color="auto" w:fill="auto"/>
            <w:noWrap/>
            <w:vAlign w:val="bottom"/>
            <w:hideMark/>
          </w:tcPr>
          <w:p w14:paraId="15BE8253" w14:textId="77777777" w:rsidR="00A20361" w:rsidRPr="00F31BE4" w:rsidRDefault="00A20361" w:rsidP="0048210B">
            <w:pPr>
              <w:jc w:val="right"/>
              <w:rPr>
                <w:sz w:val="20"/>
                <w:szCs w:val="20"/>
              </w:rPr>
            </w:pPr>
            <w:r>
              <w:rPr>
                <w:sz w:val="20"/>
                <w:szCs w:val="20"/>
              </w:rPr>
              <w:t>(</w:t>
            </w:r>
            <w:r w:rsidRPr="00F31BE4">
              <w:rPr>
                <w:sz w:val="20"/>
                <w:szCs w:val="20"/>
              </w:rPr>
              <w:t>1.14</w:t>
            </w:r>
            <w:r>
              <w:rPr>
                <w:sz w:val="20"/>
                <w:szCs w:val="20"/>
              </w:rPr>
              <w:t>)</w:t>
            </w:r>
          </w:p>
        </w:tc>
        <w:tc>
          <w:tcPr>
            <w:tcW w:w="1279" w:type="dxa"/>
            <w:shd w:val="clear" w:color="auto" w:fill="auto"/>
            <w:noWrap/>
            <w:vAlign w:val="bottom"/>
            <w:hideMark/>
          </w:tcPr>
          <w:p w14:paraId="489A54B6" w14:textId="77777777" w:rsidR="00A20361" w:rsidRPr="00F31BE4" w:rsidRDefault="00A20361" w:rsidP="0048210B">
            <w:pPr>
              <w:jc w:val="right"/>
              <w:rPr>
                <w:sz w:val="20"/>
                <w:szCs w:val="20"/>
              </w:rPr>
            </w:pPr>
            <w:r>
              <w:rPr>
                <w:sz w:val="20"/>
                <w:szCs w:val="20"/>
              </w:rPr>
              <w:t>(</w:t>
            </w:r>
            <w:r w:rsidRPr="00F31BE4">
              <w:rPr>
                <w:sz w:val="20"/>
                <w:szCs w:val="20"/>
              </w:rPr>
              <w:t>1.62</w:t>
            </w:r>
            <w:r>
              <w:rPr>
                <w:sz w:val="20"/>
                <w:szCs w:val="20"/>
              </w:rPr>
              <w:t>)</w:t>
            </w:r>
          </w:p>
        </w:tc>
        <w:tc>
          <w:tcPr>
            <w:tcW w:w="1279" w:type="dxa"/>
            <w:shd w:val="clear" w:color="auto" w:fill="auto"/>
            <w:noWrap/>
            <w:vAlign w:val="bottom"/>
            <w:hideMark/>
          </w:tcPr>
          <w:p w14:paraId="63B0AA8C" w14:textId="77777777" w:rsidR="00A20361" w:rsidRPr="00F31BE4" w:rsidRDefault="00A20361" w:rsidP="0048210B">
            <w:pPr>
              <w:jc w:val="right"/>
              <w:rPr>
                <w:sz w:val="20"/>
                <w:szCs w:val="20"/>
              </w:rPr>
            </w:pPr>
            <w:r>
              <w:rPr>
                <w:sz w:val="20"/>
                <w:szCs w:val="20"/>
              </w:rPr>
              <w:t>(</w:t>
            </w:r>
            <w:r w:rsidRPr="00F31BE4">
              <w:rPr>
                <w:sz w:val="20"/>
                <w:szCs w:val="20"/>
              </w:rPr>
              <w:t>1.61</w:t>
            </w:r>
            <w:r>
              <w:rPr>
                <w:sz w:val="20"/>
                <w:szCs w:val="20"/>
              </w:rPr>
              <w:t>)</w:t>
            </w:r>
          </w:p>
        </w:tc>
      </w:tr>
      <w:tr w:rsidR="00A20361" w14:paraId="208D2525" w14:textId="77777777" w:rsidTr="0048210B">
        <w:trPr>
          <w:trHeight w:val="256"/>
          <w:jc w:val="center"/>
        </w:trPr>
        <w:tc>
          <w:tcPr>
            <w:tcW w:w="2178" w:type="dxa"/>
            <w:shd w:val="clear" w:color="auto" w:fill="auto"/>
            <w:noWrap/>
            <w:vAlign w:val="bottom"/>
            <w:hideMark/>
          </w:tcPr>
          <w:p w14:paraId="09908F9E" w14:textId="77777777" w:rsidR="00A20361" w:rsidRPr="00F31BE4" w:rsidRDefault="00A20361" w:rsidP="0048210B">
            <w:pPr>
              <w:rPr>
                <w:sz w:val="20"/>
                <w:szCs w:val="20"/>
              </w:rPr>
            </w:pPr>
            <w:r w:rsidRPr="00F31BE4">
              <w:rPr>
                <w:sz w:val="20"/>
                <w:szCs w:val="20"/>
              </w:rPr>
              <w:t>Total local revenue per pupil (in k$)</w:t>
            </w:r>
          </w:p>
        </w:tc>
        <w:tc>
          <w:tcPr>
            <w:tcW w:w="1279" w:type="dxa"/>
            <w:shd w:val="clear" w:color="auto" w:fill="auto"/>
            <w:noWrap/>
            <w:vAlign w:val="bottom"/>
            <w:hideMark/>
          </w:tcPr>
          <w:p w14:paraId="09E2693B" w14:textId="77777777" w:rsidR="00A20361" w:rsidRPr="00F31BE4" w:rsidRDefault="00A20361" w:rsidP="0048210B">
            <w:pPr>
              <w:jc w:val="right"/>
              <w:rPr>
                <w:sz w:val="20"/>
                <w:szCs w:val="20"/>
              </w:rPr>
            </w:pPr>
            <w:r w:rsidRPr="00F31BE4">
              <w:rPr>
                <w:sz w:val="20"/>
                <w:szCs w:val="20"/>
              </w:rPr>
              <w:t>3.46</w:t>
            </w:r>
          </w:p>
        </w:tc>
        <w:tc>
          <w:tcPr>
            <w:tcW w:w="1279" w:type="dxa"/>
            <w:shd w:val="clear" w:color="auto" w:fill="auto"/>
            <w:noWrap/>
            <w:vAlign w:val="bottom"/>
            <w:hideMark/>
          </w:tcPr>
          <w:p w14:paraId="4DEBC530" w14:textId="77777777" w:rsidR="00A20361" w:rsidRPr="00F31BE4" w:rsidRDefault="00A20361" w:rsidP="0048210B">
            <w:pPr>
              <w:jc w:val="right"/>
              <w:rPr>
                <w:sz w:val="20"/>
                <w:szCs w:val="20"/>
              </w:rPr>
            </w:pPr>
            <w:r w:rsidRPr="00F31BE4">
              <w:rPr>
                <w:sz w:val="20"/>
                <w:szCs w:val="20"/>
              </w:rPr>
              <w:t>3.78</w:t>
            </w:r>
          </w:p>
        </w:tc>
        <w:tc>
          <w:tcPr>
            <w:tcW w:w="1279" w:type="dxa"/>
            <w:shd w:val="clear" w:color="auto" w:fill="auto"/>
            <w:noWrap/>
            <w:vAlign w:val="bottom"/>
            <w:hideMark/>
          </w:tcPr>
          <w:p w14:paraId="68F8AA96" w14:textId="77777777" w:rsidR="00A20361" w:rsidRPr="00F31BE4" w:rsidRDefault="00A20361" w:rsidP="0048210B">
            <w:pPr>
              <w:jc w:val="right"/>
              <w:rPr>
                <w:sz w:val="20"/>
                <w:szCs w:val="20"/>
              </w:rPr>
            </w:pPr>
            <w:r w:rsidRPr="00F31BE4">
              <w:rPr>
                <w:sz w:val="20"/>
                <w:szCs w:val="20"/>
              </w:rPr>
              <w:t>4.39</w:t>
            </w:r>
          </w:p>
        </w:tc>
        <w:tc>
          <w:tcPr>
            <w:tcW w:w="1279" w:type="dxa"/>
            <w:shd w:val="clear" w:color="auto" w:fill="auto"/>
            <w:noWrap/>
            <w:vAlign w:val="bottom"/>
            <w:hideMark/>
          </w:tcPr>
          <w:p w14:paraId="26B528C4" w14:textId="77777777" w:rsidR="00A20361" w:rsidRPr="00F31BE4" w:rsidRDefault="00A20361" w:rsidP="0048210B">
            <w:pPr>
              <w:jc w:val="right"/>
              <w:rPr>
                <w:sz w:val="20"/>
                <w:szCs w:val="20"/>
              </w:rPr>
            </w:pPr>
            <w:r w:rsidRPr="00F31BE4">
              <w:rPr>
                <w:sz w:val="20"/>
                <w:szCs w:val="20"/>
              </w:rPr>
              <w:t>4.18</w:t>
            </w:r>
          </w:p>
        </w:tc>
        <w:tc>
          <w:tcPr>
            <w:tcW w:w="1279" w:type="dxa"/>
            <w:shd w:val="clear" w:color="auto" w:fill="auto"/>
            <w:noWrap/>
            <w:vAlign w:val="bottom"/>
            <w:hideMark/>
          </w:tcPr>
          <w:p w14:paraId="0EE9ACBD" w14:textId="77777777" w:rsidR="00A20361" w:rsidRPr="00F31BE4" w:rsidRDefault="00A20361" w:rsidP="0048210B">
            <w:pPr>
              <w:jc w:val="right"/>
              <w:rPr>
                <w:sz w:val="20"/>
                <w:szCs w:val="20"/>
              </w:rPr>
            </w:pPr>
            <w:r w:rsidRPr="00F31BE4">
              <w:rPr>
                <w:sz w:val="20"/>
                <w:szCs w:val="20"/>
              </w:rPr>
              <w:t>5.84</w:t>
            </w:r>
          </w:p>
        </w:tc>
        <w:tc>
          <w:tcPr>
            <w:tcW w:w="1279" w:type="dxa"/>
            <w:shd w:val="clear" w:color="auto" w:fill="auto"/>
            <w:noWrap/>
            <w:vAlign w:val="bottom"/>
            <w:hideMark/>
          </w:tcPr>
          <w:p w14:paraId="359497B7" w14:textId="77777777" w:rsidR="00A20361" w:rsidRPr="00F31BE4" w:rsidRDefault="00A20361" w:rsidP="0048210B">
            <w:pPr>
              <w:jc w:val="right"/>
              <w:rPr>
                <w:sz w:val="20"/>
                <w:szCs w:val="20"/>
              </w:rPr>
            </w:pPr>
            <w:r w:rsidRPr="00F31BE4">
              <w:rPr>
                <w:sz w:val="20"/>
                <w:szCs w:val="20"/>
              </w:rPr>
              <w:t>4.97</w:t>
            </w:r>
          </w:p>
        </w:tc>
      </w:tr>
      <w:tr w:rsidR="00A20361" w14:paraId="58EDB0AF" w14:textId="77777777" w:rsidTr="0048210B">
        <w:trPr>
          <w:trHeight w:val="256"/>
          <w:jc w:val="center"/>
        </w:trPr>
        <w:tc>
          <w:tcPr>
            <w:tcW w:w="2178" w:type="dxa"/>
            <w:shd w:val="clear" w:color="auto" w:fill="auto"/>
            <w:noWrap/>
            <w:vAlign w:val="bottom"/>
            <w:hideMark/>
          </w:tcPr>
          <w:p w14:paraId="61D6B1DD" w14:textId="77777777" w:rsidR="00A20361" w:rsidRPr="00F31BE4" w:rsidRDefault="00A20361" w:rsidP="0048210B">
            <w:pPr>
              <w:jc w:val="right"/>
              <w:rPr>
                <w:sz w:val="20"/>
                <w:szCs w:val="20"/>
              </w:rPr>
            </w:pPr>
          </w:p>
        </w:tc>
        <w:tc>
          <w:tcPr>
            <w:tcW w:w="1279" w:type="dxa"/>
            <w:shd w:val="clear" w:color="auto" w:fill="auto"/>
            <w:noWrap/>
            <w:vAlign w:val="bottom"/>
            <w:hideMark/>
          </w:tcPr>
          <w:p w14:paraId="047258AF" w14:textId="77777777" w:rsidR="00A20361" w:rsidRPr="00F31BE4" w:rsidRDefault="00A20361" w:rsidP="0048210B">
            <w:pPr>
              <w:jc w:val="right"/>
              <w:rPr>
                <w:sz w:val="20"/>
                <w:szCs w:val="20"/>
              </w:rPr>
            </w:pPr>
            <w:r>
              <w:rPr>
                <w:sz w:val="20"/>
                <w:szCs w:val="20"/>
              </w:rPr>
              <w:t>(</w:t>
            </w:r>
            <w:r w:rsidRPr="00F31BE4">
              <w:rPr>
                <w:sz w:val="20"/>
                <w:szCs w:val="20"/>
              </w:rPr>
              <w:t>1.52</w:t>
            </w:r>
            <w:r>
              <w:rPr>
                <w:sz w:val="20"/>
                <w:szCs w:val="20"/>
              </w:rPr>
              <w:t>)</w:t>
            </w:r>
          </w:p>
        </w:tc>
        <w:tc>
          <w:tcPr>
            <w:tcW w:w="1279" w:type="dxa"/>
            <w:shd w:val="clear" w:color="auto" w:fill="auto"/>
            <w:noWrap/>
            <w:vAlign w:val="bottom"/>
            <w:hideMark/>
          </w:tcPr>
          <w:p w14:paraId="31C0EC8B" w14:textId="77777777" w:rsidR="00A20361" w:rsidRPr="00F31BE4" w:rsidRDefault="00A20361" w:rsidP="0048210B">
            <w:pPr>
              <w:jc w:val="right"/>
              <w:rPr>
                <w:sz w:val="20"/>
                <w:szCs w:val="20"/>
              </w:rPr>
            </w:pPr>
            <w:r>
              <w:rPr>
                <w:sz w:val="20"/>
                <w:szCs w:val="20"/>
              </w:rPr>
              <w:t>(</w:t>
            </w:r>
            <w:r w:rsidRPr="00F31BE4">
              <w:rPr>
                <w:sz w:val="20"/>
                <w:szCs w:val="20"/>
              </w:rPr>
              <w:t>1.93</w:t>
            </w:r>
            <w:r>
              <w:rPr>
                <w:sz w:val="20"/>
                <w:szCs w:val="20"/>
              </w:rPr>
              <w:t>)</w:t>
            </w:r>
          </w:p>
        </w:tc>
        <w:tc>
          <w:tcPr>
            <w:tcW w:w="1279" w:type="dxa"/>
            <w:shd w:val="clear" w:color="auto" w:fill="auto"/>
            <w:noWrap/>
            <w:vAlign w:val="bottom"/>
            <w:hideMark/>
          </w:tcPr>
          <w:p w14:paraId="513F6876" w14:textId="77777777" w:rsidR="00A20361" w:rsidRPr="00F31BE4" w:rsidRDefault="00A20361" w:rsidP="0048210B">
            <w:pPr>
              <w:jc w:val="right"/>
              <w:rPr>
                <w:sz w:val="20"/>
                <w:szCs w:val="20"/>
              </w:rPr>
            </w:pPr>
            <w:r>
              <w:rPr>
                <w:sz w:val="20"/>
                <w:szCs w:val="20"/>
              </w:rPr>
              <w:t>(</w:t>
            </w:r>
            <w:r w:rsidRPr="00F31BE4">
              <w:rPr>
                <w:sz w:val="20"/>
                <w:szCs w:val="20"/>
              </w:rPr>
              <w:t>1.84</w:t>
            </w:r>
            <w:r>
              <w:rPr>
                <w:sz w:val="20"/>
                <w:szCs w:val="20"/>
              </w:rPr>
              <w:t>)</w:t>
            </w:r>
          </w:p>
        </w:tc>
        <w:tc>
          <w:tcPr>
            <w:tcW w:w="1279" w:type="dxa"/>
            <w:shd w:val="clear" w:color="auto" w:fill="auto"/>
            <w:noWrap/>
            <w:vAlign w:val="bottom"/>
            <w:hideMark/>
          </w:tcPr>
          <w:p w14:paraId="08975A27" w14:textId="77777777" w:rsidR="00A20361" w:rsidRPr="00F31BE4" w:rsidRDefault="00A20361" w:rsidP="0048210B">
            <w:pPr>
              <w:jc w:val="right"/>
              <w:rPr>
                <w:sz w:val="20"/>
                <w:szCs w:val="20"/>
              </w:rPr>
            </w:pPr>
            <w:r>
              <w:rPr>
                <w:sz w:val="20"/>
                <w:szCs w:val="20"/>
              </w:rPr>
              <w:t>(</w:t>
            </w:r>
            <w:r w:rsidRPr="00F31BE4">
              <w:rPr>
                <w:sz w:val="20"/>
                <w:szCs w:val="20"/>
              </w:rPr>
              <w:t>1.76</w:t>
            </w:r>
            <w:r>
              <w:rPr>
                <w:sz w:val="20"/>
                <w:szCs w:val="20"/>
              </w:rPr>
              <w:t>)</w:t>
            </w:r>
          </w:p>
        </w:tc>
        <w:tc>
          <w:tcPr>
            <w:tcW w:w="1279" w:type="dxa"/>
            <w:shd w:val="clear" w:color="auto" w:fill="auto"/>
            <w:noWrap/>
            <w:vAlign w:val="bottom"/>
            <w:hideMark/>
          </w:tcPr>
          <w:p w14:paraId="316A3122" w14:textId="77777777" w:rsidR="00A20361" w:rsidRPr="00F31BE4" w:rsidRDefault="00A20361" w:rsidP="0048210B">
            <w:pPr>
              <w:jc w:val="right"/>
              <w:rPr>
                <w:sz w:val="20"/>
                <w:szCs w:val="20"/>
              </w:rPr>
            </w:pPr>
            <w:r>
              <w:rPr>
                <w:sz w:val="20"/>
                <w:szCs w:val="20"/>
              </w:rPr>
              <w:t>(</w:t>
            </w:r>
            <w:r w:rsidRPr="00F31BE4">
              <w:rPr>
                <w:sz w:val="20"/>
                <w:szCs w:val="20"/>
              </w:rPr>
              <w:t>2.61</w:t>
            </w:r>
            <w:r>
              <w:rPr>
                <w:sz w:val="20"/>
                <w:szCs w:val="20"/>
              </w:rPr>
              <w:t>)</w:t>
            </w:r>
          </w:p>
        </w:tc>
        <w:tc>
          <w:tcPr>
            <w:tcW w:w="1279" w:type="dxa"/>
            <w:shd w:val="clear" w:color="auto" w:fill="auto"/>
            <w:noWrap/>
            <w:vAlign w:val="bottom"/>
            <w:hideMark/>
          </w:tcPr>
          <w:p w14:paraId="51EBAA36" w14:textId="77777777" w:rsidR="00A20361" w:rsidRPr="00F31BE4" w:rsidRDefault="00A20361" w:rsidP="0048210B">
            <w:pPr>
              <w:jc w:val="right"/>
              <w:rPr>
                <w:sz w:val="20"/>
                <w:szCs w:val="20"/>
              </w:rPr>
            </w:pPr>
            <w:r>
              <w:rPr>
                <w:sz w:val="20"/>
                <w:szCs w:val="20"/>
              </w:rPr>
              <w:t>(</w:t>
            </w:r>
            <w:r w:rsidRPr="00F31BE4">
              <w:rPr>
                <w:sz w:val="20"/>
                <w:szCs w:val="20"/>
              </w:rPr>
              <w:t>2.15</w:t>
            </w:r>
            <w:r>
              <w:rPr>
                <w:sz w:val="20"/>
                <w:szCs w:val="20"/>
              </w:rPr>
              <w:t>)</w:t>
            </w:r>
          </w:p>
        </w:tc>
      </w:tr>
      <w:tr w:rsidR="00A20361" w14:paraId="7433227C" w14:textId="77777777" w:rsidTr="0048210B">
        <w:trPr>
          <w:trHeight w:val="256"/>
          <w:jc w:val="center"/>
        </w:trPr>
        <w:tc>
          <w:tcPr>
            <w:tcW w:w="2178" w:type="dxa"/>
            <w:shd w:val="clear" w:color="auto" w:fill="auto"/>
            <w:noWrap/>
            <w:vAlign w:val="bottom"/>
            <w:hideMark/>
          </w:tcPr>
          <w:p w14:paraId="31A005F6" w14:textId="77777777" w:rsidR="00A20361" w:rsidRPr="00F31BE4" w:rsidRDefault="00A20361" w:rsidP="0048210B">
            <w:pPr>
              <w:rPr>
                <w:sz w:val="20"/>
                <w:szCs w:val="20"/>
              </w:rPr>
            </w:pPr>
            <w:r w:rsidRPr="00F31BE4">
              <w:rPr>
                <w:sz w:val="20"/>
                <w:szCs w:val="20"/>
              </w:rPr>
              <w:t>Total expenditure per pupil (in k$)</w:t>
            </w:r>
          </w:p>
        </w:tc>
        <w:tc>
          <w:tcPr>
            <w:tcW w:w="1279" w:type="dxa"/>
            <w:shd w:val="clear" w:color="auto" w:fill="auto"/>
            <w:noWrap/>
            <w:vAlign w:val="bottom"/>
            <w:hideMark/>
          </w:tcPr>
          <w:p w14:paraId="631186C8" w14:textId="77777777" w:rsidR="00A20361" w:rsidRPr="00F31BE4" w:rsidRDefault="00A20361" w:rsidP="0048210B">
            <w:pPr>
              <w:jc w:val="right"/>
              <w:rPr>
                <w:sz w:val="20"/>
                <w:szCs w:val="20"/>
              </w:rPr>
            </w:pPr>
            <w:r w:rsidRPr="00F31BE4">
              <w:rPr>
                <w:sz w:val="20"/>
                <w:szCs w:val="20"/>
              </w:rPr>
              <w:t>7.21</w:t>
            </w:r>
          </w:p>
        </w:tc>
        <w:tc>
          <w:tcPr>
            <w:tcW w:w="1279" w:type="dxa"/>
            <w:shd w:val="clear" w:color="auto" w:fill="auto"/>
            <w:noWrap/>
            <w:vAlign w:val="bottom"/>
            <w:hideMark/>
          </w:tcPr>
          <w:p w14:paraId="326C8D62" w14:textId="77777777" w:rsidR="00A20361" w:rsidRPr="00F31BE4" w:rsidRDefault="00A20361" w:rsidP="0048210B">
            <w:pPr>
              <w:jc w:val="right"/>
              <w:rPr>
                <w:sz w:val="20"/>
                <w:szCs w:val="20"/>
              </w:rPr>
            </w:pPr>
            <w:r w:rsidRPr="00F31BE4">
              <w:rPr>
                <w:sz w:val="20"/>
                <w:szCs w:val="20"/>
              </w:rPr>
              <w:t>7.67</w:t>
            </w:r>
          </w:p>
        </w:tc>
        <w:tc>
          <w:tcPr>
            <w:tcW w:w="1279" w:type="dxa"/>
            <w:shd w:val="clear" w:color="auto" w:fill="auto"/>
            <w:noWrap/>
            <w:vAlign w:val="bottom"/>
            <w:hideMark/>
          </w:tcPr>
          <w:p w14:paraId="0978C391" w14:textId="77777777" w:rsidR="00A20361" w:rsidRPr="00F31BE4" w:rsidRDefault="00A20361" w:rsidP="0048210B">
            <w:pPr>
              <w:jc w:val="right"/>
              <w:rPr>
                <w:sz w:val="20"/>
                <w:szCs w:val="20"/>
              </w:rPr>
            </w:pPr>
            <w:r w:rsidRPr="00F31BE4">
              <w:rPr>
                <w:sz w:val="20"/>
                <w:szCs w:val="20"/>
              </w:rPr>
              <w:t>9.64</w:t>
            </w:r>
          </w:p>
        </w:tc>
        <w:tc>
          <w:tcPr>
            <w:tcW w:w="1279" w:type="dxa"/>
            <w:shd w:val="clear" w:color="auto" w:fill="auto"/>
            <w:noWrap/>
            <w:vAlign w:val="bottom"/>
            <w:hideMark/>
          </w:tcPr>
          <w:p w14:paraId="78F358C8" w14:textId="77777777" w:rsidR="00A20361" w:rsidRPr="00F31BE4" w:rsidRDefault="00A20361" w:rsidP="0048210B">
            <w:pPr>
              <w:jc w:val="right"/>
              <w:rPr>
                <w:sz w:val="20"/>
                <w:szCs w:val="20"/>
              </w:rPr>
            </w:pPr>
            <w:r w:rsidRPr="00F31BE4">
              <w:rPr>
                <w:sz w:val="20"/>
                <w:szCs w:val="20"/>
              </w:rPr>
              <w:t>9.57</w:t>
            </w:r>
          </w:p>
        </w:tc>
        <w:tc>
          <w:tcPr>
            <w:tcW w:w="1279" w:type="dxa"/>
            <w:shd w:val="clear" w:color="auto" w:fill="auto"/>
            <w:noWrap/>
            <w:vAlign w:val="bottom"/>
            <w:hideMark/>
          </w:tcPr>
          <w:p w14:paraId="2AA1D8F5" w14:textId="77777777" w:rsidR="00A20361" w:rsidRPr="00F31BE4" w:rsidRDefault="00A20361" w:rsidP="0048210B">
            <w:pPr>
              <w:jc w:val="right"/>
              <w:rPr>
                <w:sz w:val="20"/>
                <w:szCs w:val="20"/>
              </w:rPr>
            </w:pPr>
            <w:r w:rsidRPr="00F31BE4">
              <w:rPr>
                <w:sz w:val="20"/>
                <w:szCs w:val="20"/>
              </w:rPr>
              <w:t>12.2</w:t>
            </w:r>
          </w:p>
        </w:tc>
        <w:tc>
          <w:tcPr>
            <w:tcW w:w="1279" w:type="dxa"/>
            <w:shd w:val="clear" w:color="auto" w:fill="auto"/>
            <w:noWrap/>
            <w:vAlign w:val="bottom"/>
            <w:hideMark/>
          </w:tcPr>
          <w:p w14:paraId="1E0D02DA" w14:textId="77777777" w:rsidR="00A20361" w:rsidRPr="00F31BE4" w:rsidRDefault="00A20361" w:rsidP="0048210B">
            <w:pPr>
              <w:jc w:val="right"/>
              <w:rPr>
                <w:sz w:val="20"/>
                <w:szCs w:val="20"/>
              </w:rPr>
            </w:pPr>
            <w:r w:rsidRPr="00F31BE4">
              <w:rPr>
                <w:sz w:val="20"/>
                <w:szCs w:val="20"/>
              </w:rPr>
              <w:t>11.26</w:t>
            </w:r>
          </w:p>
        </w:tc>
      </w:tr>
      <w:tr w:rsidR="00A20361" w14:paraId="55F873FE" w14:textId="77777777" w:rsidTr="0048210B">
        <w:trPr>
          <w:trHeight w:val="256"/>
          <w:jc w:val="center"/>
        </w:trPr>
        <w:tc>
          <w:tcPr>
            <w:tcW w:w="2178" w:type="dxa"/>
            <w:shd w:val="clear" w:color="auto" w:fill="auto"/>
            <w:noWrap/>
            <w:vAlign w:val="bottom"/>
            <w:hideMark/>
          </w:tcPr>
          <w:p w14:paraId="68BEDF36" w14:textId="77777777" w:rsidR="00A20361" w:rsidRPr="00F31BE4" w:rsidRDefault="00A20361" w:rsidP="0048210B">
            <w:pPr>
              <w:jc w:val="right"/>
              <w:rPr>
                <w:sz w:val="20"/>
                <w:szCs w:val="20"/>
              </w:rPr>
            </w:pPr>
          </w:p>
        </w:tc>
        <w:tc>
          <w:tcPr>
            <w:tcW w:w="1279" w:type="dxa"/>
            <w:shd w:val="clear" w:color="auto" w:fill="auto"/>
            <w:noWrap/>
            <w:vAlign w:val="bottom"/>
            <w:hideMark/>
          </w:tcPr>
          <w:p w14:paraId="7D8617AB" w14:textId="77777777" w:rsidR="00A20361" w:rsidRPr="00F31BE4" w:rsidRDefault="00A20361" w:rsidP="0048210B">
            <w:pPr>
              <w:jc w:val="right"/>
              <w:rPr>
                <w:sz w:val="20"/>
                <w:szCs w:val="20"/>
              </w:rPr>
            </w:pPr>
            <w:r>
              <w:rPr>
                <w:sz w:val="20"/>
                <w:szCs w:val="20"/>
              </w:rPr>
              <w:t>(</w:t>
            </w:r>
            <w:r w:rsidRPr="00F31BE4">
              <w:rPr>
                <w:sz w:val="20"/>
                <w:szCs w:val="20"/>
              </w:rPr>
              <w:t>1.29</w:t>
            </w:r>
            <w:r>
              <w:rPr>
                <w:sz w:val="20"/>
                <w:szCs w:val="20"/>
              </w:rPr>
              <w:t>)</w:t>
            </w:r>
          </w:p>
        </w:tc>
        <w:tc>
          <w:tcPr>
            <w:tcW w:w="1279" w:type="dxa"/>
            <w:shd w:val="clear" w:color="auto" w:fill="auto"/>
            <w:noWrap/>
            <w:vAlign w:val="bottom"/>
            <w:hideMark/>
          </w:tcPr>
          <w:p w14:paraId="1C470165" w14:textId="77777777" w:rsidR="00A20361" w:rsidRPr="00F31BE4" w:rsidRDefault="00A20361" w:rsidP="0048210B">
            <w:pPr>
              <w:jc w:val="right"/>
              <w:rPr>
                <w:sz w:val="20"/>
                <w:szCs w:val="20"/>
              </w:rPr>
            </w:pPr>
            <w:r>
              <w:rPr>
                <w:sz w:val="20"/>
                <w:szCs w:val="20"/>
              </w:rPr>
              <w:t>(</w:t>
            </w:r>
            <w:r w:rsidRPr="00F31BE4">
              <w:rPr>
                <w:sz w:val="20"/>
                <w:szCs w:val="20"/>
              </w:rPr>
              <w:t>2.16</w:t>
            </w:r>
            <w:r>
              <w:rPr>
                <w:sz w:val="20"/>
                <w:szCs w:val="20"/>
              </w:rPr>
              <w:t>)</w:t>
            </w:r>
          </w:p>
        </w:tc>
        <w:tc>
          <w:tcPr>
            <w:tcW w:w="1279" w:type="dxa"/>
            <w:shd w:val="clear" w:color="auto" w:fill="auto"/>
            <w:noWrap/>
            <w:vAlign w:val="bottom"/>
            <w:hideMark/>
          </w:tcPr>
          <w:p w14:paraId="6B0D4659" w14:textId="77777777" w:rsidR="00A20361" w:rsidRPr="00F31BE4" w:rsidRDefault="00A20361" w:rsidP="0048210B">
            <w:pPr>
              <w:jc w:val="right"/>
              <w:rPr>
                <w:sz w:val="20"/>
                <w:szCs w:val="20"/>
              </w:rPr>
            </w:pPr>
            <w:r>
              <w:rPr>
                <w:sz w:val="20"/>
                <w:szCs w:val="20"/>
              </w:rPr>
              <w:t>(</w:t>
            </w:r>
            <w:r w:rsidRPr="00F31BE4">
              <w:rPr>
                <w:sz w:val="20"/>
                <w:szCs w:val="20"/>
              </w:rPr>
              <w:t>2.14</w:t>
            </w:r>
            <w:r>
              <w:rPr>
                <w:sz w:val="20"/>
                <w:szCs w:val="20"/>
              </w:rPr>
              <w:t>)</w:t>
            </w:r>
          </w:p>
        </w:tc>
        <w:tc>
          <w:tcPr>
            <w:tcW w:w="1279" w:type="dxa"/>
            <w:shd w:val="clear" w:color="auto" w:fill="auto"/>
            <w:noWrap/>
            <w:vAlign w:val="bottom"/>
            <w:hideMark/>
          </w:tcPr>
          <w:p w14:paraId="7750A92F" w14:textId="77777777" w:rsidR="00A20361" w:rsidRPr="00F31BE4" w:rsidRDefault="00A20361" w:rsidP="0048210B">
            <w:pPr>
              <w:jc w:val="right"/>
              <w:rPr>
                <w:sz w:val="20"/>
                <w:szCs w:val="20"/>
              </w:rPr>
            </w:pPr>
            <w:r>
              <w:rPr>
                <w:sz w:val="20"/>
                <w:szCs w:val="20"/>
              </w:rPr>
              <w:t>(</w:t>
            </w:r>
            <w:r w:rsidRPr="00F31BE4">
              <w:rPr>
                <w:sz w:val="20"/>
                <w:szCs w:val="20"/>
              </w:rPr>
              <w:t>1.74</w:t>
            </w:r>
            <w:r>
              <w:rPr>
                <w:sz w:val="20"/>
                <w:szCs w:val="20"/>
              </w:rPr>
              <w:t>)</w:t>
            </w:r>
          </w:p>
        </w:tc>
        <w:tc>
          <w:tcPr>
            <w:tcW w:w="1279" w:type="dxa"/>
            <w:shd w:val="clear" w:color="auto" w:fill="auto"/>
            <w:noWrap/>
            <w:vAlign w:val="bottom"/>
            <w:hideMark/>
          </w:tcPr>
          <w:p w14:paraId="6C775CCB" w14:textId="77777777" w:rsidR="00A20361" w:rsidRPr="00F31BE4" w:rsidRDefault="00A20361" w:rsidP="0048210B">
            <w:pPr>
              <w:jc w:val="right"/>
              <w:rPr>
                <w:sz w:val="20"/>
                <w:szCs w:val="20"/>
              </w:rPr>
            </w:pPr>
            <w:r>
              <w:rPr>
                <w:sz w:val="20"/>
                <w:szCs w:val="20"/>
              </w:rPr>
              <w:t>(</w:t>
            </w:r>
            <w:r w:rsidRPr="00F31BE4">
              <w:rPr>
                <w:sz w:val="20"/>
                <w:szCs w:val="20"/>
              </w:rPr>
              <w:t>3.41</w:t>
            </w:r>
            <w:r>
              <w:rPr>
                <w:sz w:val="20"/>
                <w:szCs w:val="20"/>
              </w:rPr>
              <w:t>)</w:t>
            </w:r>
          </w:p>
        </w:tc>
        <w:tc>
          <w:tcPr>
            <w:tcW w:w="1279" w:type="dxa"/>
            <w:shd w:val="clear" w:color="auto" w:fill="auto"/>
            <w:noWrap/>
            <w:vAlign w:val="bottom"/>
            <w:hideMark/>
          </w:tcPr>
          <w:p w14:paraId="3A2FC72A" w14:textId="77777777" w:rsidR="00A20361" w:rsidRPr="00F31BE4" w:rsidRDefault="00A20361" w:rsidP="0048210B">
            <w:pPr>
              <w:jc w:val="right"/>
              <w:rPr>
                <w:sz w:val="20"/>
                <w:szCs w:val="20"/>
              </w:rPr>
            </w:pPr>
            <w:r>
              <w:rPr>
                <w:sz w:val="20"/>
                <w:szCs w:val="20"/>
              </w:rPr>
              <w:t>(</w:t>
            </w:r>
            <w:r w:rsidRPr="00F31BE4">
              <w:rPr>
                <w:sz w:val="20"/>
                <w:szCs w:val="20"/>
              </w:rPr>
              <w:t>2.4</w:t>
            </w:r>
            <w:r>
              <w:rPr>
                <w:sz w:val="20"/>
                <w:szCs w:val="20"/>
              </w:rPr>
              <w:t>)</w:t>
            </w:r>
          </w:p>
        </w:tc>
      </w:tr>
      <w:tr w:rsidR="00A20361" w14:paraId="106E09A3" w14:textId="77777777" w:rsidTr="0048210B">
        <w:trPr>
          <w:trHeight w:val="256"/>
          <w:jc w:val="center"/>
        </w:trPr>
        <w:tc>
          <w:tcPr>
            <w:tcW w:w="2178" w:type="dxa"/>
            <w:shd w:val="clear" w:color="auto" w:fill="auto"/>
            <w:noWrap/>
            <w:vAlign w:val="bottom"/>
            <w:hideMark/>
          </w:tcPr>
          <w:p w14:paraId="3786BA08" w14:textId="77777777" w:rsidR="00A20361" w:rsidRPr="00F31BE4" w:rsidRDefault="00A20361" w:rsidP="0048210B">
            <w:pPr>
              <w:rPr>
                <w:sz w:val="20"/>
                <w:szCs w:val="20"/>
              </w:rPr>
            </w:pPr>
            <w:r w:rsidRPr="00F31BE4">
              <w:rPr>
                <w:sz w:val="20"/>
                <w:szCs w:val="20"/>
              </w:rPr>
              <w:t>Total enrollment</w:t>
            </w:r>
          </w:p>
        </w:tc>
        <w:tc>
          <w:tcPr>
            <w:tcW w:w="1279" w:type="dxa"/>
            <w:shd w:val="clear" w:color="auto" w:fill="auto"/>
            <w:noWrap/>
            <w:vAlign w:val="bottom"/>
            <w:hideMark/>
          </w:tcPr>
          <w:p w14:paraId="469B87D1" w14:textId="77777777" w:rsidR="00A20361" w:rsidRPr="00F31BE4" w:rsidRDefault="00A20361" w:rsidP="0048210B">
            <w:pPr>
              <w:jc w:val="right"/>
              <w:rPr>
                <w:sz w:val="20"/>
                <w:szCs w:val="20"/>
              </w:rPr>
            </w:pPr>
            <w:r w:rsidRPr="00F31BE4">
              <w:rPr>
                <w:sz w:val="20"/>
                <w:szCs w:val="20"/>
              </w:rPr>
              <w:t>260004.36</w:t>
            </w:r>
          </w:p>
        </w:tc>
        <w:tc>
          <w:tcPr>
            <w:tcW w:w="1279" w:type="dxa"/>
            <w:shd w:val="clear" w:color="auto" w:fill="auto"/>
            <w:noWrap/>
            <w:vAlign w:val="bottom"/>
            <w:hideMark/>
          </w:tcPr>
          <w:p w14:paraId="57B63EA2" w14:textId="77777777" w:rsidR="00A20361" w:rsidRPr="00F31BE4" w:rsidRDefault="00A20361" w:rsidP="0048210B">
            <w:pPr>
              <w:jc w:val="right"/>
              <w:rPr>
                <w:sz w:val="20"/>
                <w:szCs w:val="20"/>
              </w:rPr>
            </w:pPr>
            <w:r w:rsidRPr="00F31BE4">
              <w:rPr>
                <w:sz w:val="20"/>
                <w:szCs w:val="20"/>
              </w:rPr>
              <w:t>554456.16</w:t>
            </w:r>
          </w:p>
        </w:tc>
        <w:tc>
          <w:tcPr>
            <w:tcW w:w="1279" w:type="dxa"/>
            <w:shd w:val="clear" w:color="auto" w:fill="auto"/>
            <w:noWrap/>
            <w:vAlign w:val="bottom"/>
            <w:hideMark/>
          </w:tcPr>
          <w:p w14:paraId="058DA14D" w14:textId="77777777" w:rsidR="00A20361" w:rsidRPr="00F31BE4" w:rsidRDefault="00A20361" w:rsidP="0048210B">
            <w:pPr>
              <w:jc w:val="right"/>
              <w:rPr>
                <w:sz w:val="20"/>
                <w:szCs w:val="20"/>
              </w:rPr>
            </w:pPr>
            <w:r w:rsidRPr="00F31BE4">
              <w:rPr>
                <w:sz w:val="20"/>
                <w:szCs w:val="20"/>
              </w:rPr>
              <w:t>440379.1</w:t>
            </w:r>
          </w:p>
        </w:tc>
        <w:tc>
          <w:tcPr>
            <w:tcW w:w="1279" w:type="dxa"/>
            <w:shd w:val="clear" w:color="auto" w:fill="auto"/>
            <w:noWrap/>
            <w:vAlign w:val="bottom"/>
            <w:hideMark/>
          </w:tcPr>
          <w:p w14:paraId="2571AF49" w14:textId="77777777" w:rsidR="00A20361" w:rsidRPr="00F31BE4" w:rsidRDefault="00A20361" w:rsidP="0048210B">
            <w:pPr>
              <w:jc w:val="right"/>
              <w:rPr>
                <w:sz w:val="20"/>
                <w:szCs w:val="20"/>
              </w:rPr>
            </w:pPr>
            <w:r w:rsidRPr="00F31BE4">
              <w:rPr>
                <w:sz w:val="20"/>
                <w:szCs w:val="20"/>
              </w:rPr>
              <w:t>603753.46</w:t>
            </w:r>
          </w:p>
        </w:tc>
        <w:tc>
          <w:tcPr>
            <w:tcW w:w="1279" w:type="dxa"/>
            <w:shd w:val="clear" w:color="auto" w:fill="auto"/>
            <w:noWrap/>
            <w:vAlign w:val="bottom"/>
            <w:hideMark/>
          </w:tcPr>
          <w:p w14:paraId="155E52B9" w14:textId="77777777" w:rsidR="00A20361" w:rsidRPr="00F31BE4" w:rsidRDefault="00A20361" w:rsidP="0048210B">
            <w:pPr>
              <w:jc w:val="right"/>
              <w:rPr>
                <w:sz w:val="20"/>
                <w:szCs w:val="20"/>
              </w:rPr>
            </w:pPr>
            <w:r w:rsidRPr="00F31BE4">
              <w:rPr>
                <w:sz w:val="20"/>
                <w:szCs w:val="20"/>
              </w:rPr>
              <w:t>435702.38</w:t>
            </w:r>
          </w:p>
        </w:tc>
        <w:tc>
          <w:tcPr>
            <w:tcW w:w="1279" w:type="dxa"/>
            <w:shd w:val="clear" w:color="auto" w:fill="auto"/>
            <w:noWrap/>
            <w:vAlign w:val="bottom"/>
            <w:hideMark/>
          </w:tcPr>
          <w:p w14:paraId="5E983675" w14:textId="77777777" w:rsidR="00A20361" w:rsidRPr="00F31BE4" w:rsidRDefault="00A20361" w:rsidP="0048210B">
            <w:pPr>
              <w:jc w:val="right"/>
              <w:rPr>
                <w:sz w:val="20"/>
                <w:szCs w:val="20"/>
              </w:rPr>
            </w:pPr>
            <w:r w:rsidRPr="00F31BE4">
              <w:rPr>
                <w:sz w:val="20"/>
                <w:szCs w:val="20"/>
              </w:rPr>
              <w:t>658495.43</w:t>
            </w:r>
          </w:p>
        </w:tc>
      </w:tr>
      <w:tr w:rsidR="00A20361" w14:paraId="03A769FC" w14:textId="77777777" w:rsidTr="0048210B">
        <w:trPr>
          <w:trHeight w:val="256"/>
          <w:jc w:val="center"/>
        </w:trPr>
        <w:tc>
          <w:tcPr>
            <w:tcW w:w="2178" w:type="dxa"/>
            <w:shd w:val="clear" w:color="auto" w:fill="auto"/>
            <w:noWrap/>
            <w:vAlign w:val="bottom"/>
            <w:hideMark/>
          </w:tcPr>
          <w:p w14:paraId="6874719A" w14:textId="77777777" w:rsidR="00A20361" w:rsidRPr="00F31BE4" w:rsidRDefault="00A20361" w:rsidP="0048210B">
            <w:pPr>
              <w:jc w:val="right"/>
              <w:rPr>
                <w:sz w:val="20"/>
                <w:szCs w:val="20"/>
              </w:rPr>
            </w:pPr>
          </w:p>
        </w:tc>
        <w:tc>
          <w:tcPr>
            <w:tcW w:w="1279" w:type="dxa"/>
            <w:shd w:val="clear" w:color="auto" w:fill="auto"/>
            <w:noWrap/>
            <w:vAlign w:val="bottom"/>
            <w:hideMark/>
          </w:tcPr>
          <w:p w14:paraId="56371469" w14:textId="77777777" w:rsidR="00A20361" w:rsidRPr="00F31BE4" w:rsidRDefault="00A20361" w:rsidP="0048210B">
            <w:pPr>
              <w:jc w:val="right"/>
              <w:rPr>
                <w:sz w:val="20"/>
                <w:szCs w:val="20"/>
              </w:rPr>
            </w:pPr>
            <w:r>
              <w:rPr>
                <w:sz w:val="20"/>
                <w:szCs w:val="20"/>
              </w:rPr>
              <w:t>(</w:t>
            </w:r>
            <w:r w:rsidRPr="00F31BE4">
              <w:rPr>
                <w:sz w:val="20"/>
                <w:szCs w:val="20"/>
              </w:rPr>
              <w:t>241417.59</w:t>
            </w:r>
            <w:r>
              <w:rPr>
                <w:sz w:val="20"/>
                <w:szCs w:val="20"/>
              </w:rPr>
              <w:t>)</w:t>
            </w:r>
          </w:p>
        </w:tc>
        <w:tc>
          <w:tcPr>
            <w:tcW w:w="1279" w:type="dxa"/>
            <w:shd w:val="clear" w:color="auto" w:fill="auto"/>
            <w:noWrap/>
            <w:vAlign w:val="bottom"/>
            <w:hideMark/>
          </w:tcPr>
          <w:p w14:paraId="1A16D677" w14:textId="77777777" w:rsidR="00A20361" w:rsidRPr="00F31BE4" w:rsidRDefault="00A20361" w:rsidP="0048210B">
            <w:pPr>
              <w:jc w:val="right"/>
              <w:rPr>
                <w:sz w:val="20"/>
                <w:szCs w:val="20"/>
              </w:rPr>
            </w:pPr>
            <w:r>
              <w:rPr>
                <w:sz w:val="20"/>
                <w:szCs w:val="20"/>
              </w:rPr>
              <w:t>(</w:t>
            </w:r>
            <w:r w:rsidRPr="00F31BE4">
              <w:rPr>
                <w:sz w:val="20"/>
                <w:szCs w:val="20"/>
              </w:rPr>
              <w:t>691520.36</w:t>
            </w:r>
            <w:r>
              <w:rPr>
                <w:sz w:val="20"/>
                <w:szCs w:val="20"/>
              </w:rPr>
              <w:t>)</w:t>
            </w:r>
          </w:p>
        </w:tc>
        <w:tc>
          <w:tcPr>
            <w:tcW w:w="1279" w:type="dxa"/>
            <w:shd w:val="clear" w:color="auto" w:fill="auto"/>
            <w:noWrap/>
            <w:vAlign w:val="bottom"/>
            <w:hideMark/>
          </w:tcPr>
          <w:p w14:paraId="792E504B" w14:textId="77777777" w:rsidR="00A20361" w:rsidRPr="00F31BE4" w:rsidRDefault="00A20361" w:rsidP="0048210B">
            <w:pPr>
              <w:jc w:val="right"/>
              <w:rPr>
                <w:sz w:val="20"/>
                <w:szCs w:val="20"/>
              </w:rPr>
            </w:pPr>
            <w:r>
              <w:rPr>
                <w:sz w:val="20"/>
                <w:szCs w:val="20"/>
              </w:rPr>
              <w:t>(</w:t>
            </w:r>
            <w:r w:rsidRPr="00F31BE4">
              <w:rPr>
                <w:sz w:val="20"/>
                <w:szCs w:val="20"/>
              </w:rPr>
              <w:t>488193.73</w:t>
            </w:r>
            <w:r>
              <w:rPr>
                <w:sz w:val="20"/>
                <w:szCs w:val="20"/>
              </w:rPr>
              <w:t>)</w:t>
            </w:r>
          </w:p>
        </w:tc>
        <w:tc>
          <w:tcPr>
            <w:tcW w:w="1279" w:type="dxa"/>
            <w:shd w:val="clear" w:color="auto" w:fill="auto"/>
            <w:noWrap/>
            <w:vAlign w:val="bottom"/>
            <w:hideMark/>
          </w:tcPr>
          <w:p w14:paraId="00CB4EE0" w14:textId="77777777" w:rsidR="00A20361" w:rsidRPr="00F31BE4" w:rsidRDefault="00A20361" w:rsidP="0048210B">
            <w:pPr>
              <w:jc w:val="right"/>
              <w:rPr>
                <w:sz w:val="20"/>
                <w:szCs w:val="20"/>
              </w:rPr>
            </w:pPr>
            <w:r>
              <w:rPr>
                <w:sz w:val="20"/>
                <w:szCs w:val="20"/>
              </w:rPr>
              <w:t>(</w:t>
            </w:r>
            <w:r w:rsidRPr="00F31BE4">
              <w:rPr>
                <w:sz w:val="20"/>
                <w:szCs w:val="20"/>
              </w:rPr>
              <w:t>855737.27</w:t>
            </w:r>
            <w:r>
              <w:rPr>
                <w:sz w:val="20"/>
                <w:szCs w:val="20"/>
              </w:rPr>
              <w:t>)</w:t>
            </w:r>
          </w:p>
        </w:tc>
        <w:tc>
          <w:tcPr>
            <w:tcW w:w="1279" w:type="dxa"/>
            <w:shd w:val="clear" w:color="auto" w:fill="auto"/>
            <w:noWrap/>
            <w:vAlign w:val="bottom"/>
            <w:hideMark/>
          </w:tcPr>
          <w:p w14:paraId="129DA425" w14:textId="77777777" w:rsidR="00A20361" w:rsidRPr="00F31BE4" w:rsidRDefault="00A20361" w:rsidP="0048210B">
            <w:pPr>
              <w:jc w:val="right"/>
              <w:rPr>
                <w:sz w:val="20"/>
                <w:szCs w:val="20"/>
              </w:rPr>
            </w:pPr>
            <w:r>
              <w:rPr>
                <w:sz w:val="20"/>
                <w:szCs w:val="20"/>
              </w:rPr>
              <w:t>(</w:t>
            </w:r>
            <w:r w:rsidRPr="00F31BE4">
              <w:rPr>
                <w:sz w:val="20"/>
                <w:szCs w:val="20"/>
              </w:rPr>
              <w:t>483050.69</w:t>
            </w:r>
            <w:r>
              <w:rPr>
                <w:sz w:val="20"/>
                <w:szCs w:val="20"/>
              </w:rPr>
              <w:t>)</w:t>
            </w:r>
          </w:p>
        </w:tc>
        <w:tc>
          <w:tcPr>
            <w:tcW w:w="1279" w:type="dxa"/>
            <w:shd w:val="clear" w:color="auto" w:fill="auto"/>
            <w:noWrap/>
            <w:vAlign w:val="bottom"/>
            <w:hideMark/>
          </w:tcPr>
          <w:p w14:paraId="44AEDED5" w14:textId="77777777" w:rsidR="00A20361" w:rsidRPr="00F31BE4" w:rsidRDefault="00A20361" w:rsidP="0048210B">
            <w:pPr>
              <w:jc w:val="right"/>
              <w:rPr>
                <w:sz w:val="20"/>
                <w:szCs w:val="20"/>
              </w:rPr>
            </w:pPr>
            <w:r>
              <w:rPr>
                <w:sz w:val="20"/>
                <w:szCs w:val="20"/>
              </w:rPr>
              <w:t>(</w:t>
            </w:r>
            <w:r w:rsidRPr="00F31BE4">
              <w:rPr>
                <w:sz w:val="20"/>
                <w:szCs w:val="20"/>
              </w:rPr>
              <w:t>901914.75</w:t>
            </w:r>
            <w:r>
              <w:rPr>
                <w:sz w:val="20"/>
                <w:szCs w:val="20"/>
              </w:rPr>
              <w:t>)</w:t>
            </w:r>
          </w:p>
        </w:tc>
      </w:tr>
      <w:tr w:rsidR="00A20361" w14:paraId="621BC9A4" w14:textId="77777777" w:rsidTr="0048210B">
        <w:trPr>
          <w:trHeight w:val="256"/>
          <w:jc w:val="center"/>
        </w:trPr>
        <w:tc>
          <w:tcPr>
            <w:tcW w:w="2178" w:type="dxa"/>
            <w:shd w:val="clear" w:color="auto" w:fill="auto"/>
            <w:noWrap/>
            <w:vAlign w:val="bottom"/>
            <w:hideMark/>
          </w:tcPr>
          <w:p w14:paraId="4899A730" w14:textId="77777777" w:rsidR="00A20361" w:rsidRPr="00F31BE4" w:rsidRDefault="00A20361" w:rsidP="0048210B">
            <w:pPr>
              <w:rPr>
                <w:sz w:val="20"/>
                <w:szCs w:val="20"/>
              </w:rPr>
            </w:pPr>
            <w:r w:rsidRPr="00F31BE4">
              <w:rPr>
                <w:sz w:val="20"/>
                <w:szCs w:val="20"/>
              </w:rPr>
              <w:t>Share of female</w:t>
            </w:r>
          </w:p>
        </w:tc>
        <w:tc>
          <w:tcPr>
            <w:tcW w:w="1279" w:type="dxa"/>
            <w:shd w:val="clear" w:color="auto" w:fill="auto"/>
            <w:noWrap/>
            <w:vAlign w:val="bottom"/>
            <w:hideMark/>
          </w:tcPr>
          <w:p w14:paraId="49AFB095" w14:textId="77777777" w:rsidR="00A20361" w:rsidRPr="00F31BE4" w:rsidRDefault="00A20361" w:rsidP="0048210B">
            <w:pPr>
              <w:jc w:val="right"/>
              <w:rPr>
                <w:sz w:val="20"/>
                <w:szCs w:val="20"/>
              </w:rPr>
            </w:pPr>
            <w:r w:rsidRPr="00F31BE4">
              <w:rPr>
                <w:sz w:val="20"/>
                <w:szCs w:val="20"/>
              </w:rPr>
              <w:t>0.51</w:t>
            </w:r>
          </w:p>
        </w:tc>
        <w:tc>
          <w:tcPr>
            <w:tcW w:w="1279" w:type="dxa"/>
            <w:shd w:val="clear" w:color="auto" w:fill="auto"/>
            <w:noWrap/>
            <w:vAlign w:val="bottom"/>
            <w:hideMark/>
          </w:tcPr>
          <w:p w14:paraId="74161D4A" w14:textId="77777777" w:rsidR="00A20361" w:rsidRPr="00F31BE4" w:rsidRDefault="00A20361" w:rsidP="0048210B">
            <w:pPr>
              <w:jc w:val="right"/>
              <w:rPr>
                <w:sz w:val="20"/>
                <w:szCs w:val="20"/>
              </w:rPr>
            </w:pPr>
            <w:r w:rsidRPr="00F31BE4">
              <w:rPr>
                <w:sz w:val="20"/>
                <w:szCs w:val="20"/>
              </w:rPr>
              <w:t>0.51</w:t>
            </w:r>
          </w:p>
        </w:tc>
        <w:tc>
          <w:tcPr>
            <w:tcW w:w="1279" w:type="dxa"/>
            <w:shd w:val="clear" w:color="auto" w:fill="auto"/>
            <w:noWrap/>
            <w:vAlign w:val="bottom"/>
            <w:hideMark/>
          </w:tcPr>
          <w:p w14:paraId="0F6EA5EF" w14:textId="77777777" w:rsidR="00A20361" w:rsidRPr="00F31BE4" w:rsidRDefault="00A20361" w:rsidP="0048210B">
            <w:pPr>
              <w:jc w:val="right"/>
              <w:rPr>
                <w:sz w:val="20"/>
                <w:szCs w:val="20"/>
              </w:rPr>
            </w:pPr>
            <w:r w:rsidRPr="00F31BE4">
              <w:rPr>
                <w:sz w:val="20"/>
                <w:szCs w:val="20"/>
              </w:rPr>
              <w:t>0.51</w:t>
            </w:r>
          </w:p>
        </w:tc>
        <w:tc>
          <w:tcPr>
            <w:tcW w:w="1279" w:type="dxa"/>
            <w:shd w:val="clear" w:color="auto" w:fill="auto"/>
            <w:noWrap/>
            <w:vAlign w:val="bottom"/>
            <w:hideMark/>
          </w:tcPr>
          <w:p w14:paraId="22E073A7" w14:textId="77777777" w:rsidR="00A20361" w:rsidRPr="00F31BE4" w:rsidRDefault="00A20361" w:rsidP="0048210B">
            <w:pPr>
              <w:jc w:val="right"/>
              <w:rPr>
                <w:sz w:val="20"/>
                <w:szCs w:val="20"/>
              </w:rPr>
            </w:pPr>
            <w:r w:rsidRPr="00F31BE4">
              <w:rPr>
                <w:sz w:val="20"/>
                <w:szCs w:val="20"/>
              </w:rPr>
              <w:t>0.51</w:t>
            </w:r>
          </w:p>
        </w:tc>
        <w:tc>
          <w:tcPr>
            <w:tcW w:w="1279" w:type="dxa"/>
            <w:shd w:val="clear" w:color="auto" w:fill="auto"/>
            <w:noWrap/>
            <w:vAlign w:val="bottom"/>
            <w:hideMark/>
          </w:tcPr>
          <w:p w14:paraId="17C19F7E" w14:textId="77777777" w:rsidR="00A20361" w:rsidRPr="00F31BE4" w:rsidRDefault="00A20361" w:rsidP="0048210B">
            <w:pPr>
              <w:jc w:val="right"/>
              <w:rPr>
                <w:sz w:val="20"/>
                <w:szCs w:val="20"/>
              </w:rPr>
            </w:pPr>
            <w:r w:rsidRPr="00F31BE4">
              <w:rPr>
                <w:sz w:val="20"/>
                <w:szCs w:val="20"/>
              </w:rPr>
              <w:t>0.51</w:t>
            </w:r>
          </w:p>
        </w:tc>
        <w:tc>
          <w:tcPr>
            <w:tcW w:w="1279" w:type="dxa"/>
            <w:shd w:val="clear" w:color="auto" w:fill="auto"/>
            <w:noWrap/>
            <w:vAlign w:val="bottom"/>
            <w:hideMark/>
          </w:tcPr>
          <w:p w14:paraId="7A1065BC" w14:textId="77777777" w:rsidR="00A20361" w:rsidRPr="00F31BE4" w:rsidRDefault="00A20361" w:rsidP="0048210B">
            <w:pPr>
              <w:jc w:val="right"/>
              <w:rPr>
                <w:sz w:val="20"/>
                <w:szCs w:val="20"/>
              </w:rPr>
            </w:pPr>
            <w:r w:rsidRPr="00F31BE4">
              <w:rPr>
                <w:sz w:val="20"/>
                <w:szCs w:val="20"/>
              </w:rPr>
              <w:t>0.51</w:t>
            </w:r>
          </w:p>
        </w:tc>
      </w:tr>
      <w:tr w:rsidR="00A20361" w14:paraId="03EA8B5A" w14:textId="77777777" w:rsidTr="0048210B">
        <w:trPr>
          <w:trHeight w:val="256"/>
          <w:jc w:val="center"/>
        </w:trPr>
        <w:tc>
          <w:tcPr>
            <w:tcW w:w="2178" w:type="dxa"/>
            <w:shd w:val="clear" w:color="auto" w:fill="auto"/>
            <w:noWrap/>
            <w:vAlign w:val="bottom"/>
            <w:hideMark/>
          </w:tcPr>
          <w:p w14:paraId="5F138B97" w14:textId="77777777" w:rsidR="00A20361" w:rsidRPr="00F31BE4" w:rsidRDefault="00A20361" w:rsidP="0048210B">
            <w:pPr>
              <w:jc w:val="right"/>
              <w:rPr>
                <w:sz w:val="20"/>
                <w:szCs w:val="20"/>
              </w:rPr>
            </w:pPr>
          </w:p>
        </w:tc>
        <w:tc>
          <w:tcPr>
            <w:tcW w:w="1279" w:type="dxa"/>
            <w:shd w:val="clear" w:color="auto" w:fill="auto"/>
            <w:noWrap/>
            <w:vAlign w:val="bottom"/>
            <w:hideMark/>
          </w:tcPr>
          <w:p w14:paraId="0BDF1918" w14:textId="77777777" w:rsidR="00A20361" w:rsidRPr="00F31BE4" w:rsidRDefault="00A20361" w:rsidP="0048210B">
            <w:pPr>
              <w:jc w:val="right"/>
              <w:rPr>
                <w:sz w:val="20"/>
                <w:szCs w:val="20"/>
              </w:rPr>
            </w:pPr>
            <w:r>
              <w:rPr>
                <w:sz w:val="20"/>
                <w:szCs w:val="20"/>
              </w:rPr>
              <w:t>(</w:t>
            </w:r>
            <w:r w:rsidRPr="00F31BE4">
              <w:rPr>
                <w:sz w:val="20"/>
                <w:szCs w:val="20"/>
              </w:rPr>
              <w:t>0.01</w:t>
            </w:r>
            <w:r>
              <w:rPr>
                <w:sz w:val="20"/>
                <w:szCs w:val="20"/>
              </w:rPr>
              <w:t>)</w:t>
            </w:r>
          </w:p>
        </w:tc>
        <w:tc>
          <w:tcPr>
            <w:tcW w:w="1279" w:type="dxa"/>
            <w:shd w:val="clear" w:color="auto" w:fill="auto"/>
            <w:noWrap/>
            <w:vAlign w:val="bottom"/>
            <w:hideMark/>
          </w:tcPr>
          <w:p w14:paraId="08D25D27" w14:textId="77777777" w:rsidR="00A20361" w:rsidRPr="00F31BE4" w:rsidRDefault="00A20361" w:rsidP="0048210B">
            <w:pPr>
              <w:jc w:val="right"/>
              <w:rPr>
                <w:sz w:val="20"/>
                <w:szCs w:val="20"/>
              </w:rPr>
            </w:pPr>
            <w:r>
              <w:rPr>
                <w:sz w:val="20"/>
                <w:szCs w:val="20"/>
              </w:rPr>
              <w:t>(</w:t>
            </w:r>
            <w:r w:rsidRPr="00F31BE4">
              <w:rPr>
                <w:sz w:val="20"/>
                <w:szCs w:val="20"/>
              </w:rPr>
              <w:t>0.01</w:t>
            </w:r>
            <w:r>
              <w:rPr>
                <w:sz w:val="20"/>
                <w:szCs w:val="20"/>
              </w:rPr>
              <w:t>)</w:t>
            </w:r>
          </w:p>
        </w:tc>
        <w:tc>
          <w:tcPr>
            <w:tcW w:w="1279" w:type="dxa"/>
            <w:shd w:val="clear" w:color="auto" w:fill="auto"/>
            <w:noWrap/>
            <w:vAlign w:val="bottom"/>
            <w:hideMark/>
          </w:tcPr>
          <w:p w14:paraId="094C53D3" w14:textId="77777777" w:rsidR="00A20361" w:rsidRPr="00F31BE4" w:rsidRDefault="00A20361" w:rsidP="0048210B">
            <w:pPr>
              <w:jc w:val="right"/>
              <w:rPr>
                <w:sz w:val="20"/>
                <w:szCs w:val="20"/>
              </w:rPr>
            </w:pPr>
            <w:r>
              <w:rPr>
                <w:sz w:val="20"/>
                <w:szCs w:val="20"/>
              </w:rPr>
              <w:t>(</w:t>
            </w:r>
            <w:r w:rsidRPr="00F31BE4">
              <w:rPr>
                <w:sz w:val="20"/>
                <w:szCs w:val="20"/>
              </w:rPr>
              <w:t>0.01</w:t>
            </w:r>
            <w:r>
              <w:rPr>
                <w:sz w:val="20"/>
                <w:szCs w:val="20"/>
              </w:rPr>
              <w:t>)</w:t>
            </w:r>
          </w:p>
        </w:tc>
        <w:tc>
          <w:tcPr>
            <w:tcW w:w="1279" w:type="dxa"/>
            <w:shd w:val="clear" w:color="auto" w:fill="auto"/>
            <w:noWrap/>
            <w:vAlign w:val="bottom"/>
            <w:hideMark/>
          </w:tcPr>
          <w:p w14:paraId="50387109" w14:textId="77777777" w:rsidR="00A20361" w:rsidRPr="00F31BE4" w:rsidRDefault="00A20361" w:rsidP="0048210B">
            <w:pPr>
              <w:jc w:val="right"/>
              <w:rPr>
                <w:sz w:val="20"/>
                <w:szCs w:val="20"/>
              </w:rPr>
            </w:pPr>
            <w:r>
              <w:rPr>
                <w:sz w:val="20"/>
                <w:szCs w:val="20"/>
              </w:rPr>
              <w:t>(</w:t>
            </w:r>
            <w:r w:rsidRPr="00F31BE4">
              <w:rPr>
                <w:sz w:val="20"/>
                <w:szCs w:val="20"/>
              </w:rPr>
              <w:t>0.01</w:t>
            </w:r>
            <w:r>
              <w:rPr>
                <w:sz w:val="20"/>
                <w:szCs w:val="20"/>
              </w:rPr>
              <w:t>)</w:t>
            </w:r>
          </w:p>
        </w:tc>
        <w:tc>
          <w:tcPr>
            <w:tcW w:w="1279" w:type="dxa"/>
            <w:shd w:val="clear" w:color="auto" w:fill="auto"/>
            <w:noWrap/>
            <w:vAlign w:val="bottom"/>
            <w:hideMark/>
          </w:tcPr>
          <w:p w14:paraId="205546A1" w14:textId="77777777" w:rsidR="00A20361" w:rsidRPr="00F31BE4" w:rsidRDefault="00A20361" w:rsidP="0048210B">
            <w:pPr>
              <w:jc w:val="right"/>
              <w:rPr>
                <w:sz w:val="20"/>
                <w:szCs w:val="20"/>
              </w:rPr>
            </w:pPr>
            <w:r>
              <w:rPr>
                <w:sz w:val="20"/>
                <w:szCs w:val="20"/>
              </w:rPr>
              <w:t>(</w:t>
            </w:r>
            <w:r w:rsidRPr="00F31BE4">
              <w:rPr>
                <w:sz w:val="20"/>
                <w:szCs w:val="20"/>
              </w:rPr>
              <w:t>0.01</w:t>
            </w:r>
            <w:r>
              <w:rPr>
                <w:sz w:val="20"/>
                <w:szCs w:val="20"/>
              </w:rPr>
              <w:t>)</w:t>
            </w:r>
          </w:p>
        </w:tc>
        <w:tc>
          <w:tcPr>
            <w:tcW w:w="1279" w:type="dxa"/>
            <w:shd w:val="clear" w:color="auto" w:fill="auto"/>
            <w:noWrap/>
            <w:vAlign w:val="bottom"/>
            <w:hideMark/>
          </w:tcPr>
          <w:p w14:paraId="02835899" w14:textId="77777777" w:rsidR="00A20361" w:rsidRPr="00F31BE4" w:rsidRDefault="00A20361" w:rsidP="0048210B">
            <w:pPr>
              <w:jc w:val="right"/>
              <w:rPr>
                <w:sz w:val="20"/>
                <w:szCs w:val="20"/>
              </w:rPr>
            </w:pPr>
            <w:r>
              <w:rPr>
                <w:sz w:val="20"/>
                <w:szCs w:val="20"/>
              </w:rPr>
              <w:t>(</w:t>
            </w:r>
            <w:r w:rsidRPr="00F31BE4">
              <w:rPr>
                <w:sz w:val="20"/>
                <w:szCs w:val="20"/>
              </w:rPr>
              <w:t>0.01</w:t>
            </w:r>
            <w:r>
              <w:rPr>
                <w:sz w:val="20"/>
                <w:szCs w:val="20"/>
              </w:rPr>
              <w:t>)</w:t>
            </w:r>
          </w:p>
        </w:tc>
      </w:tr>
      <w:tr w:rsidR="00A20361" w14:paraId="41E1E82A" w14:textId="77777777" w:rsidTr="0048210B">
        <w:trPr>
          <w:trHeight w:val="256"/>
          <w:jc w:val="center"/>
        </w:trPr>
        <w:tc>
          <w:tcPr>
            <w:tcW w:w="2178" w:type="dxa"/>
            <w:shd w:val="clear" w:color="auto" w:fill="auto"/>
            <w:noWrap/>
            <w:vAlign w:val="bottom"/>
            <w:hideMark/>
          </w:tcPr>
          <w:p w14:paraId="57F09DCA" w14:textId="77777777" w:rsidR="00A20361" w:rsidRPr="00F31BE4" w:rsidRDefault="00A20361" w:rsidP="0048210B">
            <w:pPr>
              <w:rPr>
                <w:sz w:val="20"/>
                <w:szCs w:val="20"/>
              </w:rPr>
            </w:pPr>
            <w:r w:rsidRPr="00F31BE4">
              <w:rPr>
                <w:sz w:val="20"/>
                <w:szCs w:val="20"/>
              </w:rPr>
              <w:t>Share of foreign born</w:t>
            </w:r>
          </w:p>
        </w:tc>
        <w:tc>
          <w:tcPr>
            <w:tcW w:w="1279" w:type="dxa"/>
            <w:shd w:val="clear" w:color="auto" w:fill="auto"/>
            <w:noWrap/>
            <w:vAlign w:val="bottom"/>
            <w:hideMark/>
          </w:tcPr>
          <w:p w14:paraId="44E231A7" w14:textId="77777777" w:rsidR="00A20361" w:rsidRPr="00F31BE4" w:rsidRDefault="00A20361" w:rsidP="0048210B">
            <w:pPr>
              <w:jc w:val="right"/>
              <w:rPr>
                <w:sz w:val="20"/>
                <w:szCs w:val="20"/>
              </w:rPr>
            </w:pPr>
            <w:r w:rsidRPr="00F31BE4">
              <w:rPr>
                <w:sz w:val="20"/>
                <w:szCs w:val="20"/>
              </w:rPr>
              <w:t>0.07</w:t>
            </w:r>
          </w:p>
        </w:tc>
        <w:tc>
          <w:tcPr>
            <w:tcW w:w="1279" w:type="dxa"/>
            <w:shd w:val="clear" w:color="auto" w:fill="auto"/>
            <w:noWrap/>
            <w:vAlign w:val="bottom"/>
            <w:hideMark/>
          </w:tcPr>
          <w:p w14:paraId="3497B813" w14:textId="77777777" w:rsidR="00A20361" w:rsidRPr="00F31BE4" w:rsidRDefault="00A20361" w:rsidP="0048210B">
            <w:pPr>
              <w:jc w:val="right"/>
              <w:rPr>
                <w:sz w:val="20"/>
                <w:szCs w:val="20"/>
              </w:rPr>
            </w:pPr>
            <w:r w:rsidRPr="00F31BE4">
              <w:rPr>
                <w:sz w:val="20"/>
                <w:szCs w:val="20"/>
              </w:rPr>
              <w:t>0.11</w:t>
            </w:r>
          </w:p>
        </w:tc>
        <w:tc>
          <w:tcPr>
            <w:tcW w:w="1279" w:type="dxa"/>
            <w:shd w:val="clear" w:color="auto" w:fill="auto"/>
            <w:noWrap/>
            <w:vAlign w:val="bottom"/>
            <w:hideMark/>
          </w:tcPr>
          <w:p w14:paraId="3B7D73AA" w14:textId="77777777" w:rsidR="00A20361" w:rsidRPr="00F31BE4" w:rsidRDefault="00A20361" w:rsidP="0048210B">
            <w:pPr>
              <w:jc w:val="right"/>
              <w:rPr>
                <w:sz w:val="20"/>
                <w:szCs w:val="20"/>
              </w:rPr>
            </w:pPr>
            <w:r w:rsidRPr="00F31BE4">
              <w:rPr>
                <w:sz w:val="20"/>
                <w:szCs w:val="20"/>
              </w:rPr>
              <w:t>0.13</w:t>
            </w:r>
          </w:p>
        </w:tc>
        <w:tc>
          <w:tcPr>
            <w:tcW w:w="1279" w:type="dxa"/>
            <w:shd w:val="clear" w:color="auto" w:fill="auto"/>
            <w:noWrap/>
            <w:vAlign w:val="bottom"/>
            <w:hideMark/>
          </w:tcPr>
          <w:p w14:paraId="56CB1487" w14:textId="77777777" w:rsidR="00A20361" w:rsidRPr="00F31BE4" w:rsidRDefault="00A20361" w:rsidP="0048210B">
            <w:pPr>
              <w:jc w:val="right"/>
              <w:rPr>
                <w:sz w:val="20"/>
                <w:szCs w:val="20"/>
              </w:rPr>
            </w:pPr>
            <w:r w:rsidRPr="00F31BE4">
              <w:rPr>
                <w:sz w:val="20"/>
                <w:szCs w:val="20"/>
              </w:rPr>
              <w:t>0.12</w:t>
            </w:r>
          </w:p>
        </w:tc>
        <w:tc>
          <w:tcPr>
            <w:tcW w:w="1279" w:type="dxa"/>
            <w:shd w:val="clear" w:color="auto" w:fill="auto"/>
            <w:noWrap/>
            <w:vAlign w:val="bottom"/>
            <w:hideMark/>
          </w:tcPr>
          <w:p w14:paraId="47DF5BBB" w14:textId="77777777" w:rsidR="00A20361" w:rsidRPr="00F31BE4" w:rsidRDefault="00A20361" w:rsidP="0048210B">
            <w:pPr>
              <w:jc w:val="right"/>
              <w:rPr>
                <w:sz w:val="20"/>
                <w:szCs w:val="20"/>
              </w:rPr>
            </w:pPr>
            <w:r w:rsidRPr="00F31BE4">
              <w:rPr>
                <w:sz w:val="20"/>
                <w:szCs w:val="20"/>
              </w:rPr>
              <w:t>0.15</w:t>
            </w:r>
          </w:p>
        </w:tc>
        <w:tc>
          <w:tcPr>
            <w:tcW w:w="1279" w:type="dxa"/>
            <w:shd w:val="clear" w:color="auto" w:fill="auto"/>
            <w:noWrap/>
            <w:vAlign w:val="bottom"/>
            <w:hideMark/>
          </w:tcPr>
          <w:p w14:paraId="5ECEE2DC" w14:textId="77777777" w:rsidR="00A20361" w:rsidRPr="00F31BE4" w:rsidRDefault="00A20361" w:rsidP="0048210B">
            <w:pPr>
              <w:jc w:val="right"/>
              <w:rPr>
                <w:sz w:val="20"/>
                <w:szCs w:val="20"/>
              </w:rPr>
            </w:pPr>
            <w:r w:rsidRPr="00F31BE4">
              <w:rPr>
                <w:sz w:val="20"/>
                <w:szCs w:val="20"/>
              </w:rPr>
              <w:t>0.13</w:t>
            </w:r>
          </w:p>
        </w:tc>
      </w:tr>
      <w:tr w:rsidR="00A20361" w14:paraId="01BE8BCA" w14:textId="77777777" w:rsidTr="0048210B">
        <w:trPr>
          <w:trHeight w:val="256"/>
          <w:jc w:val="center"/>
        </w:trPr>
        <w:tc>
          <w:tcPr>
            <w:tcW w:w="2178" w:type="dxa"/>
            <w:shd w:val="clear" w:color="auto" w:fill="auto"/>
            <w:noWrap/>
            <w:vAlign w:val="bottom"/>
            <w:hideMark/>
          </w:tcPr>
          <w:p w14:paraId="12946FB9" w14:textId="77777777" w:rsidR="00A20361" w:rsidRPr="00F31BE4" w:rsidRDefault="00A20361" w:rsidP="0048210B">
            <w:pPr>
              <w:jc w:val="right"/>
              <w:rPr>
                <w:sz w:val="20"/>
                <w:szCs w:val="20"/>
              </w:rPr>
            </w:pPr>
          </w:p>
        </w:tc>
        <w:tc>
          <w:tcPr>
            <w:tcW w:w="1279" w:type="dxa"/>
            <w:shd w:val="clear" w:color="auto" w:fill="auto"/>
            <w:noWrap/>
            <w:vAlign w:val="bottom"/>
            <w:hideMark/>
          </w:tcPr>
          <w:p w14:paraId="638EC53A"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c>
          <w:tcPr>
            <w:tcW w:w="1279" w:type="dxa"/>
            <w:shd w:val="clear" w:color="auto" w:fill="auto"/>
            <w:noWrap/>
            <w:vAlign w:val="bottom"/>
            <w:hideMark/>
          </w:tcPr>
          <w:p w14:paraId="773124AC" w14:textId="77777777" w:rsidR="00A20361" w:rsidRPr="00F31BE4" w:rsidRDefault="00A20361" w:rsidP="0048210B">
            <w:pPr>
              <w:jc w:val="right"/>
              <w:rPr>
                <w:sz w:val="20"/>
                <w:szCs w:val="20"/>
              </w:rPr>
            </w:pPr>
            <w:r>
              <w:rPr>
                <w:sz w:val="20"/>
                <w:szCs w:val="20"/>
              </w:rPr>
              <w:t>(</w:t>
            </w:r>
            <w:r w:rsidRPr="00F31BE4">
              <w:rPr>
                <w:sz w:val="20"/>
                <w:szCs w:val="20"/>
              </w:rPr>
              <w:t>0.1</w:t>
            </w:r>
            <w:r>
              <w:rPr>
                <w:sz w:val="20"/>
                <w:szCs w:val="20"/>
              </w:rPr>
              <w:t>)</w:t>
            </w:r>
          </w:p>
        </w:tc>
        <w:tc>
          <w:tcPr>
            <w:tcW w:w="1279" w:type="dxa"/>
            <w:shd w:val="clear" w:color="auto" w:fill="auto"/>
            <w:noWrap/>
            <w:vAlign w:val="bottom"/>
            <w:hideMark/>
          </w:tcPr>
          <w:p w14:paraId="3358DC30" w14:textId="77777777" w:rsidR="00A20361" w:rsidRPr="00F31BE4" w:rsidRDefault="00A20361" w:rsidP="0048210B">
            <w:pPr>
              <w:jc w:val="right"/>
              <w:rPr>
                <w:sz w:val="20"/>
                <w:szCs w:val="20"/>
              </w:rPr>
            </w:pPr>
            <w:r>
              <w:rPr>
                <w:sz w:val="20"/>
                <w:szCs w:val="20"/>
              </w:rPr>
              <w:t>(</w:t>
            </w:r>
            <w:r w:rsidRPr="00F31BE4">
              <w:rPr>
                <w:sz w:val="20"/>
                <w:szCs w:val="20"/>
              </w:rPr>
              <w:t>0.11</w:t>
            </w:r>
            <w:r>
              <w:rPr>
                <w:sz w:val="20"/>
                <w:szCs w:val="20"/>
              </w:rPr>
              <w:t>)</w:t>
            </w:r>
          </w:p>
        </w:tc>
        <w:tc>
          <w:tcPr>
            <w:tcW w:w="1279" w:type="dxa"/>
            <w:shd w:val="clear" w:color="auto" w:fill="auto"/>
            <w:noWrap/>
            <w:vAlign w:val="bottom"/>
            <w:hideMark/>
          </w:tcPr>
          <w:p w14:paraId="7303E118" w14:textId="77777777" w:rsidR="00A20361" w:rsidRPr="00F31BE4" w:rsidRDefault="00A20361" w:rsidP="0048210B">
            <w:pPr>
              <w:jc w:val="right"/>
              <w:rPr>
                <w:sz w:val="20"/>
                <w:szCs w:val="20"/>
              </w:rPr>
            </w:pPr>
            <w:r>
              <w:rPr>
                <w:sz w:val="20"/>
                <w:szCs w:val="20"/>
              </w:rPr>
              <w:t>(</w:t>
            </w:r>
            <w:r w:rsidRPr="00F31BE4">
              <w:rPr>
                <w:sz w:val="20"/>
                <w:szCs w:val="20"/>
              </w:rPr>
              <w:t>0.1</w:t>
            </w:r>
            <w:r>
              <w:rPr>
                <w:sz w:val="20"/>
                <w:szCs w:val="20"/>
              </w:rPr>
              <w:t>)</w:t>
            </w:r>
          </w:p>
        </w:tc>
        <w:tc>
          <w:tcPr>
            <w:tcW w:w="1279" w:type="dxa"/>
            <w:shd w:val="clear" w:color="auto" w:fill="auto"/>
            <w:noWrap/>
            <w:vAlign w:val="bottom"/>
            <w:hideMark/>
          </w:tcPr>
          <w:p w14:paraId="76DF56BE" w14:textId="77777777" w:rsidR="00A20361" w:rsidRPr="00F31BE4" w:rsidRDefault="00A20361" w:rsidP="0048210B">
            <w:pPr>
              <w:jc w:val="right"/>
              <w:rPr>
                <w:sz w:val="20"/>
                <w:szCs w:val="20"/>
              </w:rPr>
            </w:pPr>
            <w:r>
              <w:rPr>
                <w:sz w:val="20"/>
                <w:szCs w:val="20"/>
              </w:rPr>
              <w:t>(</w:t>
            </w:r>
            <w:r w:rsidRPr="00F31BE4">
              <w:rPr>
                <w:sz w:val="20"/>
                <w:szCs w:val="20"/>
              </w:rPr>
              <w:t>0.11</w:t>
            </w:r>
            <w:r>
              <w:rPr>
                <w:sz w:val="20"/>
                <w:szCs w:val="20"/>
              </w:rPr>
              <w:t>)</w:t>
            </w:r>
          </w:p>
        </w:tc>
        <w:tc>
          <w:tcPr>
            <w:tcW w:w="1279" w:type="dxa"/>
            <w:shd w:val="clear" w:color="auto" w:fill="auto"/>
            <w:noWrap/>
            <w:vAlign w:val="bottom"/>
            <w:hideMark/>
          </w:tcPr>
          <w:p w14:paraId="710FAF21" w14:textId="77777777" w:rsidR="00A20361" w:rsidRPr="00F31BE4" w:rsidRDefault="00A20361" w:rsidP="0048210B">
            <w:pPr>
              <w:jc w:val="right"/>
              <w:rPr>
                <w:sz w:val="20"/>
                <w:szCs w:val="20"/>
              </w:rPr>
            </w:pPr>
            <w:r>
              <w:rPr>
                <w:sz w:val="20"/>
                <w:szCs w:val="20"/>
              </w:rPr>
              <w:t>(</w:t>
            </w:r>
            <w:r w:rsidRPr="00F31BE4">
              <w:rPr>
                <w:sz w:val="20"/>
                <w:szCs w:val="20"/>
              </w:rPr>
              <w:t>0.1</w:t>
            </w:r>
            <w:r>
              <w:rPr>
                <w:sz w:val="20"/>
                <w:szCs w:val="20"/>
              </w:rPr>
              <w:t>)</w:t>
            </w:r>
          </w:p>
        </w:tc>
      </w:tr>
      <w:tr w:rsidR="00A20361" w14:paraId="780BD1F9" w14:textId="77777777" w:rsidTr="0048210B">
        <w:trPr>
          <w:trHeight w:val="256"/>
          <w:jc w:val="center"/>
        </w:trPr>
        <w:tc>
          <w:tcPr>
            <w:tcW w:w="2178" w:type="dxa"/>
            <w:shd w:val="clear" w:color="auto" w:fill="auto"/>
            <w:noWrap/>
            <w:vAlign w:val="bottom"/>
            <w:hideMark/>
          </w:tcPr>
          <w:p w14:paraId="06056F2C" w14:textId="77777777" w:rsidR="00A20361" w:rsidRPr="00F31BE4" w:rsidRDefault="00A20361" w:rsidP="0048210B">
            <w:pPr>
              <w:rPr>
                <w:sz w:val="20"/>
                <w:szCs w:val="20"/>
              </w:rPr>
            </w:pPr>
            <w:r w:rsidRPr="00F31BE4">
              <w:rPr>
                <w:sz w:val="20"/>
                <w:szCs w:val="20"/>
              </w:rPr>
              <w:t xml:space="preserve">Share of age </w:t>
            </w:r>
            <w:r>
              <w:rPr>
                <w:sz w:val="20"/>
                <w:szCs w:val="20"/>
              </w:rPr>
              <w:t>(</w:t>
            </w:r>
            <w:r w:rsidRPr="00F31BE4">
              <w:rPr>
                <w:sz w:val="20"/>
                <w:szCs w:val="20"/>
              </w:rPr>
              <w:t>&gt;65</w:t>
            </w:r>
            <w:r>
              <w:rPr>
                <w:sz w:val="20"/>
                <w:szCs w:val="20"/>
              </w:rPr>
              <w:t>)</w:t>
            </w:r>
          </w:p>
        </w:tc>
        <w:tc>
          <w:tcPr>
            <w:tcW w:w="1279" w:type="dxa"/>
            <w:shd w:val="clear" w:color="auto" w:fill="auto"/>
            <w:noWrap/>
            <w:vAlign w:val="bottom"/>
            <w:hideMark/>
          </w:tcPr>
          <w:p w14:paraId="1986939A" w14:textId="77777777" w:rsidR="00A20361" w:rsidRPr="00F31BE4" w:rsidRDefault="00A20361" w:rsidP="0048210B">
            <w:pPr>
              <w:jc w:val="right"/>
              <w:rPr>
                <w:sz w:val="20"/>
                <w:szCs w:val="20"/>
              </w:rPr>
            </w:pPr>
            <w:r w:rsidRPr="00F31BE4">
              <w:rPr>
                <w:sz w:val="20"/>
                <w:szCs w:val="20"/>
              </w:rPr>
              <w:t>0.13</w:t>
            </w:r>
          </w:p>
        </w:tc>
        <w:tc>
          <w:tcPr>
            <w:tcW w:w="1279" w:type="dxa"/>
            <w:shd w:val="clear" w:color="auto" w:fill="auto"/>
            <w:noWrap/>
            <w:vAlign w:val="bottom"/>
            <w:hideMark/>
          </w:tcPr>
          <w:p w14:paraId="5AD93049" w14:textId="77777777" w:rsidR="00A20361" w:rsidRPr="00F31BE4" w:rsidRDefault="00A20361" w:rsidP="0048210B">
            <w:pPr>
              <w:jc w:val="right"/>
              <w:rPr>
                <w:sz w:val="20"/>
                <w:szCs w:val="20"/>
              </w:rPr>
            </w:pPr>
            <w:r w:rsidRPr="00F31BE4">
              <w:rPr>
                <w:sz w:val="20"/>
                <w:szCs w:val="20"/>
              </w:rPr>
              <w:t>0.13</w:t>
            </w:r>
          </w:p>
        </w:tc>
        <w:tc>
          <w:tcPr>
            <w:tcW w:w="1279" w:type="dxa"/>
            <w:shd w:val="clear" w:color="auto" w:fill="auto"/>
            <w:noWrap/>
            <w:vAlign w:val="bottom"/>
            <w:hideMark/>
          </w:tcPr>
          <w:p w14:paraId="591E37B3" w14:textId="77777777" w:rsidR="00A20361" w:rsidRPr="00F31BE4" w:rsidRDefault="00A20361" w:rsidP="0048210B">
            <w:pPr>
              <w:jc w:val="right"/>
              <w:rPr>
                <w:sz w:val="20"/>
                <w:szCs w:val="20"/>
              </w:rPr>
            </w:pPr>
            <w:r w:rsidRPr="00F31BE4">
              <w:rPr>
                <w:sz w:val="20"/>
                <w:szCs w:val="20"/>
              </w:rPr>
              <w:t>0.13</w:t>
            </w:r>
          </w:p>
        </w:tc>
        <w:tc>
          <w:tcPr>
            <w:tcW w:w="1279" w:type="dxa"/>
            <w:shd w:val="clear" w:color="auto" w:fill="auto"/>
            <w:noWrap/>
            <w:vAlign w:val="bottom"/>
            <w:hideMark/>
          </w:tcPr>
          <w:p w14:paraId="774BA1A5" w14:textId="77777777" w:rsidR="00A20361" w:rsidRPr="00F31BE4" w:rsidRDefault="00A20361" w:rsidP="0048210B">
            <w:pPr>
              <w:jc w:val="right"/>
              <w:rPr>
                <w:sz w:val="20"/>
                <w:szCs w:val="20"/>
              </w:rPr>
            </w:pPr>
            <w:r w:rsidRPr="00F31BE4">
              <w:rPr>
                <w:sz w:val="20"/>
                <w:szCs w:val="20"/>
              </w:rPr>
              <w:t>0.12</w:t>
            </w:r>
          </w:p>
        </w:tc>
        <w:tc>
          <w:tcPr>
            <w:tcW w:w="1279" w:type="dxa"/>
            <w:shd w:val="clear" w:color="auto" w:fill="auto"/>
            <w:noWrap/>
            <w:vAlign w:val="bottom"/>
            <w:hideMark/>
          </w:tcPr>
          <w:p w14:paraId="2B852C0E" w14:textId="77777777" w:rsidR="00A20361" w:rsidRPr="00F31BE4" w:rsidRDefault="00A20361" w:rsidP="0048210B">
            <w:pPr>
              <w:jc w:val="right"/>
              <w:rPr>
                <w:sz w:val="20"/>
                <w:szCs w:val="20"/>
              </w:rPr>
            </w:pPr>
            <w:r w:rsidRPr="00F31BE4">
              <w:rPr>
                <w:sz w:val="20"/>
                <w:szCs w:val="20"/>
              </w:rPr>
              <w:t>0.13</w:t>
            </w:r>
          </w:p>
        </w:tc>
        <w:tc>
          <w:tcPr>
            <w:tcW w:w="1279" w:type="dxa"/>
            <w:shd w:val="clear" w:color="auto" w:fill="auto"/>
            <w:noWrap/>
            <w:vAlign w:val="bottom"/>
            <w:hideMark/>
          </w:tcPr>
          <w:p w14:paraId="2EF7EB54" w14:textId="77777777" w:rsidR="00A20361" w:rsidRPr="00F31BE4" w:rsidRDefault="00A20361" w:rsidP="0048210B">
            <w:pPr>
              <w:jc w:val="right"/>
              <w:rPr>
                <w:sz w:val="20"/>
                <w:szCs w:val="20"/>
              </w:rPr>
            </w:pPr>
            <w:r w:rsidRPr="00F31BE4">
              <w:rPr>
                <w:sz w:val="20"/>
                <w:szCs w:val="20"/>
              </w:rPr>
              <w:t>0.12</w:t>
            </w:r>
          </w:p>
        </w:tc>
      </w:tr>
      <w:tr w:rsidR="00A20361" w14:paraId="183E62A4" w14:textId="77777777" w:rsidTr="0048210B">
        <w:trPr>
          <w:trHeight w:val="256"/>
          <w:jc w:val="center"/>
        </w:trPr>
        <w:tc>
          <w:tcPr>
            <w:tcW w:w="2178" w:type="dxa"/>
            <w:shd w:val="clear" w:color="auto" w:fill="auto"/>
            <w:noWrap/>
            <w:vAlign w:val="bottom"/>
            <w:hideMark/>
          </w:tcPr>
          <w:p w14:paraId="78834333" w14:textId="77777777" w:rsidR="00A20361" w:rsidRPr="00F31BE4" w:rsidRDefault="00A20361" w:rsidP="0048210B">
            <w:pPr>
              <w:jc w:val="right"/>
              <w:rPr>
                <w:sz w:val="20"/>
                <w:szCs w:val="20"/>
              </w:rPr>
            </w:pPr>
          </w:p>
        </w:tc>
        <w:tc>
          <w:tcPr>
            <w:tcW w:w="1279" w:type="dxa"/>
            <w:shd w:val="clear" w:color="auto" w:fill="auto"/>
            <w:noWrap/>
            <w:vAlign w:val="bottom"/>
            <w:hideMark/>
          </w:tcPr>
          <w:p w14:paraId="5EB60492" w14:textId="77777777" w:rsidR="00A20361" w:rsidRPr="00F31BE4" w:rsidRDefault="00A20361" w:rsidP="0048210B">
            <w:pPr>
              <w:jc w:val="right"/>
              <w:rPr>
                <w:sz w:val="20"/>
                <w:szCs w:val="20"/>
              </w:rPr>
            </w:pPr>
            <w:r>
              <w:rPr>
                <w:sz w:val="20"/>
                <w:szCs w:val="20"/>
              </w:rPr>
              <w:t>(</w:t>
            </w:r>
            <w:r w:rsidRPr="00F31BE4">
              <w:rPr>
                <w:sz w:val="20"/>
                <w:szCs w:val="20"/>
              </w:rPr>
              <w:t>0.04</w:t>
            </w:r>
            <w:r>
              <w:rPr>
                <w:sz w:val="20"/>
                <w:szCs w:val="20"/>
              </w:rPr>
              <w:t>)</w:t>
            </w:r>
          </w:p>
        </w:tc>
        <w:tc>
          <w:tcPr>
            <w:tcW w:w="1279" w:type="dxa"/>
            <w:shd w:val="clear" w:color="auto" w:fill="auto"/>
            <w:noWrap/>
            <w:vAlign w:val="bottom"/>
            <w:hideMark/>
          </w:tcPr>
          <w:p w14:paraId="07DA376C" w14:textId="77777777" w:rsidR="00A20361" w:rsidRPr="00F31BE4" w:rsidRDefault="00A20361" w:rsidP="0048210B">
            <w:pPr>
              <w:jc w:val="right"/>
              <w:rPr>
                <w:sz w:val="20"/>
                <w:szCs w:val="20"/>
              </w:rPr>
            </w:pPr>
            <w:r>
              <w:rPr>
                <w:sz w:val="20"/>
                <w:szCs w:val="20"/>
              </w:rPr>
              <w:t>(</w:t>
            </w:r>
            <w:r w:rsidRPr="00F31BE4">
              <w:rPr>
                <w:sz w:val="20"/>
                <w:szCs w:val="20"/>
              </w:rPr>
              <w:t>0.02</w:t>
            </w:r>
            <w:r>
              <w:rPr>
                <w:sz w:val="20"/>
                <w:szCs w:val="20"/>
              </w:rPr>
              <w:t>)</w:t>
            </w:r>
          </w:p>
        </w:tc>
        <w:tc>
          <w:tcPr>
            <w:tcW w:w="1279" w:type="dxa"/>
            <w:shd w:val="clear" w:color="auto" w:fill="auto"/>
            <w:noWrap/>
            <w:vAlign w:val="bottom"/>
            <w:hideMark/>
          </w:tcPr>
          <w:p w14:paraId="598CF0AA" w14:textId="77777777" w:rsidR="00A20361" w:rsidRPr="00F31BE4" w:rsidRDefault="00A20361" w:rsidP="0048210B">
            <w:pPr>
              <w:jc w:val="right"/>
              <w:rPr>
                <w:sz w:val="20"/>
                <w:szCs w:val="20"/>
              </w:rPr>
            </w:pPr>
            <w:r>
              <w:rPr>
                <w:sz w:val="20"/>
                <w:szCs w:val="20"/>
              </w:rPr>
              <w:t>(</w:t>
            </w:r>
            <w:r w:rsidRPr="00F31BE4">
              <w:rPr>
                <w:sz w:val="20"/>
                <w:szCs w:val="20"/>
              </w:rPr>
              <w:t>0.04</w:t>
            </w:r>
            <w:r>
              <w:rPr>
                <w:sz w:val="20"/>
                <w:szCs w:val="20"/>
              </w:rPr>
              <w:t>)</w:t>
            </w:r>
          </w:p>
        </w:tc>
        <w:tc>
          <w:tcPr>
            <w:tcW w:w="1279" w:type="dxa"/>
            <w:shd w:val="clear" w:color="auto" w:fill="auto"/>
            <w:noWrap/>
            <w:vAlign w:val="bottom"/>
            <w:hideMark/>
          </w:tcPr>
          <w:p w14:paraId="0EF9A013" w14:textId="77777777" w:rsidR="00A20361" w:rsidRPr="00F31BE4" w:rsidRDefault="00A20361" w:rsidP="0048210B">
            <w:pPr>
              <w:jc w:val="right"/>
              <w:rPr>
                <w:sz w:val="20"/>
                <w:szCs w:val="20"/>
              </w:rPr>
            </w:pPr>
            <w:r>
              <w:rPr>
                <w:sz w:val="20"/>
                <w:szCs w:val="20"/>
              </w:rPr>
              <w:t>(</w:t>
            </w:r>
            <w:r w:rsidRPr="00F31BE4">
              <w:rPr>
                <w:sz w:val="20"/>
                <w:szCs w:val="20"/>
              </w:rPr>
              <w:t>0.02</w:t>
            </w:r>
            <w:r>
              <w:rPr>
                <w:sz w:val="20"/>
                <w:szCs w:val="20"/>
              </w:rPr>
              <w:t>)</w:t>
            </w:r>
          </w:p>
        </w:tc>
        <w:tc>
          <w:tcPr>
            <w:tcW w:w="1279" w:type="dxa"/>
            <w:shd w:val="clear" w:color="auto" w:fill="auto"/>
            <w:noWrap/>
            <w:vAlign w:val="bottom"/>
            <w:hideMark/>
          </w:tcPr>
          <w:p w14:paraId="197EA51D" w14:textId="77777777" w:rsidR="00A20361" w:rsidRPr="00F31BE4" w:rsidRDefault="00A20361" w:rsidP="0048210B">
            <w:pPr>
              <w:jc w:val="right"/>
              <w:rPr>
                <w:sz w:val="20"/>
                <w:szCs w:val="20"/>
              </w:rPr>
            </w:pPr>
            <w:r>
              <w:rPr>
                <w:sz w:val="20"/>
                <w:szCs w:val="20"/>
              </w:rPr>
              <w:t>(</w:t>
            </w:r>
            <w:r w:rsidRPr="00F31BE4">
              <w:rPr>
                <w:sz w:val="20"/>
                <w:szCs w:val="20"/>
              </w:rPr>
              <w:t>0.03</w:t>
            </w:r>
            <w:r>
              <w:rPr>
                <w:sz w:val="20"/>
                <w:szCs w:val="20"/>
              </w:rPr>
              <w:t>)</w:t>
            </w:r>
          </w:p>
        </w:tc>
        <w:tc>
          <w:tcPr>
            <w:tcW w:w="1279" w:type="dxa"/>
            <w:shd w:val="clear" w:color="auto" w:fill="auto"/>
            <w:noWrap/>
            <w:vAlign w:val="bottom"/>
            <w:hideMark/>
          </w:tcPr>
          <w:p w14:paraId="2A910375" w14:textId="77777777" w:rsidR="00A20361" w:rsidRPr="00F31BE4" w:rsidRDefault="00A20361" w:rsidP="0048210B">
            <w:pPr>
              <w:jc w:val="right"/>
              <w:rPr>
                <w:sz w:val="20"/>
                <w:szCs w:val="20"/>
              </w:rPr>
            </w:pPr>
            <w:r>
              <w:rPr>
                <w:sz w:val="20"/>
                <w:szCs w:val="20"/>
              </w:rPr>
              <w:t>(</w:t>
            </w:r>
            <w:r w:rsidRPr="00F31BE4">
              <w:rPr>
                <w:sz w:val="20"/>
                <w:szCs w:val="20"/>
              </w:rPr>
              <w:t>0.02</w:t>
            </w:r>
            <w:r>
              <w:rPr>
                <w:sz w:val="20"/>
                <w:szCs w:val="20"/>
              </w:rPr>
              <w:t>)</w:t>
            </w:r>
          </w:p>
        </w:tc>
      </w:tr>
      <w:tr w:rsidR="00A20361" w14:paraId="655B5806" w14:textId="77777777" w:rsidTr="0048210B">
        <w:trPr>
          <w:trHeight w:val="256"/>
          <w:jc w:val="center"/>
        </w:trPr>
        <w:tc>
          <w:tcPr>
            <w:tcW w:w="2178" w:type="dxa"/>
            <w:shd w:val="clear" w:color="auto" w:fill="auto"/>
            <w:noWrap/>
            <w:vAlign w:val="bottom"/>
            <w:hideMark/>
          </w:tcPr>
          <w:p w14:paraId="2C5AFDD4" w14:textId="77777777" w:rsidR="00A20361" w:rsidRPr="00F31BE4" w:rsidRDefault="00A20361" w:rsidP="0048210B">
            <w:pPr>
              <w:rPr>
                <w:sz w:val="20"/>
                <w:szCs w:val="20"/>
              </w:rPr>
            </w:pPr>
            <w:r w:rsidRPr="00F31BE4">
              <w:rPr>
                <w:sz w:val="20"/>
                <w:szCs w:val="20"/>
              </w:rPr>
              <w:t xml:space="preserve">Share of age </w:t>
            </w:r>
            <w:r>
              <w:rPr>
                <w:sz w:val="20"/>
                <w:szCs w:val="20"/>
              </w:rPr>
              <w:t>(4-18)</w:t>
            </w:r>
          </w:p>
        </w:tc>
        <w:tc>
          <w:tcPr>
            <w:tcW w:w="1279" w:type="dxa"/>
            <w:shd w:val="clear" w:color="auto" w:fill="auto"/>
            <w:noWrap/>
            <w:vAlign w:val="bottom"/>
            <w:hideMark/>
          </w:tcPr>
          <w:p w14:paraId="39C87619" w14:textId="77777777" w:rsidR="00A20361" w:rsidRPr="00F31BE4" w:rsidRDefault="00A20361" w:rsidP="0048210B">
            <w:pPr>
              <w:jc w:val="right"/>
              <w:rPr>
                <w:sz w:val="20"/>
                <w:szCs w:val="20"/>
              </w:rPr>
            </w:pPr>
            <w:r w:rsidRPr="00F31BE4">
              <w:rPr>
                <w:sz w:val="20"/>
                <w:szCs w:val="20"/>
              </w:rPr>
              <w:t>0.18</w:t>
            </w:r>
          </w:p>
        </w:tc>
        <w:tc>
          <w:tcPr>
            <w:tcW w:w="1279" w:type="dxa"/>
            <w:shd w:val="clear" w:color="auto" w:fill="auto"/>
            <w:noWrap/>
            <w:vAlign w:val="bottom"/>
            <w:hideMark/>
          </w:tcPr>
          <w:p w14:paraId="5A676CE1" w14:textId="77777777" w:rsidR="00A20361" w:rsidRPr="00F31BE4" w:rsidRDefault="00A20361" w:rsidP="0048210B">
            <w:pPr>
              <w:jc w:val="right"/>
              <w:rPr>
                <w:sz w:val="20"/>
                <w:szCs w:val="20"/>
              </w:rPr>
            </w:pPr>
            <w:r w:rsidRPr="00F31BE4">
              <w:rPr>
                <w:sz w:val="20"/>
                <w:szCs w:val="20"/>
              </w:rPr>
              <w:t>0.18</w:t>
            </w:r>
          </w:p>
        </w:tc>
        <w:tc>
          <w:tcPr>
            <w:tcW w:w="1279" w:type="dxa"/>
            <w:shd w:val="clear" w:color="auto" w:fill="auto"/>
            <w:noWrap/>
            <w:vAlign w:val="bottom"/>
            <w:hideMark/>
          </w:tcPr>
          <w:p w14:paraId="4CC8DEBC" w14:textId="77777777" w:rsidR="00A20361" w:rsidRPr="00F31BE4" w:rsidRDefault="00A20361" w:rsidP="0048210B">
            <w:pPr>
              <w:jc w:val="right"/>
              <w:rPr>
                <w:sz w:val="20"/>
                <w:szCs w:val="20"/>
              </w:rPr>
            </w:pPr>
            <w:r w:rsidRPr="00F31BE4">
              <w:rPr>
                <w:sz w:val="20"/>
                <w:szCs w:val="20"/>
              </w:rPr>
              <w:t>0.19</w:t>
            </w:r>
          </w:p>
        </w:tc>
        <w:tc>
          <w:tcPr>
            <w:tcW w:w="1279" w:type="dxa"/>
            <w:shd w:val="clear" w:color="auto" w:fill="auto"/>
            <w:noWrap/>
            <w:vAlign w:val="bottom"/>
            <w:hideMark/>
          </w:tcPr>
          <w:p w14:paraId="5115BAD2" w14:textId="77777777" w:rsidR="00A20361" w:rsidRPr="00F31BE4" w:rsidRDefault="00A20361" w:rsidP="0048210B">
            <w:pPr>
              <w:jc w:val="right"/>
              <w:rPr>
                <w:sz w:val="20"/>
                <w:szCs w:val="20"/>
              </w:rPr>
            </w:pPr>
            <w:r w:rsidRPr="00F31BE4">
              <w:rPr>
                <w:sz w:val="20"/>
                <w:szCs w:val="20"/>
              </w:rPr>
              <w:t>0.19</w:t>
            </w:r>
          </w:p>
        </w:tc>
        <w:tc>
          <w:tcPr>
            <w:tcW w:w="1279" w:type="dxa"/>
            <w:shd w:val="clear" w:color="auto" w:fill="auto"/>
            <w:noWrap/>
            <w:vAlign w:val="bottom"/>
            <w:hideMark/>
          </w:tcPr>
          <w:p w14:paraId="49ACF30A" w14:textId="77777777" w:rsidR="00A20361" w:rsidRPr="00F31BE4" w:rsidRDefault="00A20361" w:rsidP="0048210B">
            <w:pPr>
              <w:jc w:val="right"/>
              <w:rPr>
                <w:sz w:val="20"/>
                <w:szCs w:val="20"/>
              </w:rPr>
            </w:pPr>
            <w:r w:rsidRPr="00F31BE4">
              <w:rPr>
                <w:sz w:val="20"/>
                <w:szCs w:val="20"/>
              </w:rPr>
              <w:t>0.17</w:t>
            </w:r>
          </w:p>
        </w:tc>
        <w:tc>
          <w:tcPr>
            <w:tcW w:w="1279" w:type="dxa"/>
            <w:shd w:val="clear" w:color="auto" w:fill="auto"/>
            <w:noWrap/>
            <w:vAlign w:val="bottom"/>
            <w:hideMark/>
          </w:tcPr>
          <w:p w14:paraId="0AF49DEE" w14:textId="77777777" w:rsidR="00A20361" w:rsidRPr="00F31BE4" w:rsidRDefault="00A20361" w:rsidP="0048210B">
            <w:pPr>
              <w:jc w:val="right"/>
              <w:rPr>
                <w:sz w:val="20"/>
                <w:szCs w:val="20"/>
              </w:rPr>
            </w:pPr>
            <w:r w:rsidRPr="00F31BE4">
              <w:rPr>
                <w:sz w:val="20"/>
                <w:szCs w:val="20"/>
              </w:rPr>
              <w:t>0.18</w:t>
            </w:r>
          </w:p>
        </w:tc>
      </w:tr>
      <w:tr w:rsidR="00A20361" w14:paraId="4566E568" w14:textId="77777777" w:rsidTr="0048210B">
        <w:trPr>
          <w:trHeight w:val="256"/>
          <w:jc w:val="center"/>
        </w:trPr>
        <w:tc>
          <w:tcPr>
            <w:tcW w:w="2178" w:type="dxa"/>
            <w:shd w:val="clear" w:color="auto" w:fill="auto"/>
            <w:noWrap/>
            <w:vAlign w:val="bottom"/>
            <w:hideMark/>
          </w:tcPr>
          <w:p w14:paraId="7C4CD098" w14:textId="77777777" w:rsidR="00A20361" w:rsidRPr="00F31BE4" w:rsidRDefault="00A20361" w:rsidP="0048210B">
            <w:pPr>
              <w:jc w:val="right"/>
              <w:rPr>
                <w:sz w:val="20"/>
                <w:szCs w:val="20"/>
              </w:rPr>
            </w:pPr>
          </w:p>
        </w:tc>
        <w:tc>
          <w:tcPr>
            <w:tcW w:w="1279" w:type="dxa"/>
            <w:shd w:val="clear" w:color="auto" w:fill="auto"/>
            <w:noWrap/>
            <w:vAlign w:val="bottom"/>
            <w:hideMark/>
          </w:tcPr>
          <w:p w14:paraId="29EB3F12" w14:textId="77777777" w:rsidR="00A20361" w:rsidRPr="00F31BE4" w:rsidRDefault="00A20361" w:rsidP="0048210B">
            <w:pPr>
              <w:jc w:val="right"/>
              <w:rPr>
                <w:sz w:val="20"/>
                <w:szCs w:val="20"/>
              </w:rPr>
            </w:pPr>
            <w:r>
              <w:rPr>
                <w:sz w:val="20"/>
                <w:szCs w:val="20"/>
              </w:rPr>
              <w:t>(</w:t>
            </w:r>
            <w:r w:rsidRPr="00F31BE4">
              <w:rPr>
                <w:sz w:val="20"/>
                <w:szCs w:val="20"/>
              </w:rPr>
              <w:t>0.02</w:t>
            </w:r>
            <w:r>
              <w:rPr>
                <w:sz w:val="20"/>
                <w:szCs w:val="20"/>
              </w:rPr>
              <w:t>)</w:t>
            </w:r>
          </w:p>
        </w:tc>
        <w:tc>
          <w:tcPr>
            <w:tcW w:w="1279" w:type="dxa"/>
            <w:shd w:val="clear" w:color="auto" w:fill="auto"/>
            <w:noWrap/>
            <w:vAlign w:val="bottom"/>
            <w:hideMark/>
          </w:tcPr>
          <w:p w14:paraId="40DF6616" w14:textId="77777777" w:rsidR="00A20361" w:rsidRPr="00F31BE4" w:rsidRDefault="00A20361" w:rsidP="0048210B">
            <w:pPr>
              <w:jc w:val="right"/>
              <w:rPr>
                <w:sz w:val="20"/>
                <w:szCs w:val="20"/>
              </w:rPr>
            </w:pPr>
            <w:r>
              <w:rPr>
                <w:sz w:val="20"/>
                <w:szCs w:val="20"/>
              </w:rPr>
              <w:t>(</w:t>
            </w:r>
            <w:r w:rsidRPr="00F31BE4">
              <w:rPr>
                <w:sz w:val="20"/>
                <w:szCs w:val="20"/>
              </w:rPr>
              <w:t>0.02</w:t>
            </w:r>
            <w:r>
              <w:rPr>
                <w:sz w:val="20"/>
                <w:szCs w:val="20"/>
              </w:rPr>
              <w:t>)</w:t>
            </w:r>
          </w:p>
        </w:tc>
        <w:tc>
          <w:tcPr>
            <w:tcW w:w="1279" w:type="dxa"/>
            <w:shd w:val="clear" w:color="auto" w:fill="auto"/>
            <w:noWrap/>
            <w:vAlign w:val="bottom"/>
            <w:hideMark/>
          </w:tcPr>
          <w:p w14:paraId="555C3DF2" w14:textId="77777777" w:rsidR="00A20361" w:rsidRPr="00F31BE4" w:rsidRDefault="00A20361" w:rsidP="0048210B">
            <w:pPr>
              <w:jc w:val="right"/>
              <w:rPr>
                <w:sz w:val="20"/>
                <w:szCs w:val="20"/>
              </w:rPr>
            </w:pPr>
            <w:r>
              <w:rPr>
                <w:sz w:val="20"/>
                <w:szCs w:val="20"/>
              </w:rPr>
              <w:t>(</w:t>
            </w:r>
            <w:r w:rsidRPr="00F31BE4">
              <w:rPr>
                <w:sz w:val="20"/>
                <w:szCs w:val="20"/>
              </w:rPr>
              <w:t>0.02</w:t>
            </w:r>
            <w:r>
              <w:rPr>
                <w:sz w:val="20"/>
                <w:szCs w:val="20"/>
              </w:rPr>
              <w:t>)</w:t>
            </w:r>
          </w:p>
        </w:tc>
        <w:tc>
          <w:tcPr>
            <w:tcW w:w="1279" w:type="dxa"/>
            <w:shd w:val="clear" w:color="auto" w:fill="auto"/>
            <w:noWrap/>
            <w:vAlign w:val="bottom"/>
            <w:hideMark/>
          </w:tcPr>
          <w:p w14:paraId="4EC15297" w14:textId="77777777" w:rsidR="00A20361" w:rsidRPr="00F31BE4" w:rsidRDefault="00A20361" w:rsidP="0048210B">
            <w:pPr>
              <w:jc w:val="right"/>
              <w:rPr>
                <w:sz w:val="20"/>
                <w:szCs w:val="20"/>
              </w:rPr>
            </w:pPr>
            <w:r>
              <w:rPr>
                <w:sz w:val="20"/>
                <w:szCs w:val="20"/>
              </w:rPr>
              <w:t>(</w:t>
            </w:r>
            <w:r w:rsidRPr="00F31BE4">
              <w:rPr>
                <w:sz w:val="20"/>
                <w:szCs w:val="20"/>
              </w:rPr>
              <w:t>0.01</w:t>
            </w:r>
            <w:r>
              <w:rPr>
                <w:sz w:val="20"/>
                <w:szCs w:val="20"/>
              </w:rPr>
              <w:t>)</w:t>
            </w:r>
          </w:p>
        </w:tc>
        <w:tc>
          <w:tcPr>
            <w:tcW w:w="1279" w:type="dxa"/>
            <w:shd w:val="clear" w:color="auto" w:fill="auto"/>
            <w:noWrap/>
            <w:vAlign w:val="bottom"/>
            <w:hideMark/>
          </w:tcPr>
          <w:p w14:paraId="698A5759" w14:textId="77777777" w:rsidR="00A20361" w:rsidRPr="00F31BE4" w:rsidRDefault="00A20361" w:rsidP="0048210B">
            <w:pPr>
              <w:jc w:val="right"/>
              <w:rPr>
                <w:sz w:val="20"/>
                <w:szCs w:val="20"/>
              </w:rPr>
            </w:pPr>
            <w:r>
              <w:rPr>
                <w:sz w:val="20"/>
                <w:szCs w:val="20"/>
              </w:rPr>
              <w:t>(</w:t>
            </w:r>
            <w:r w:rsidRPr="00F31BE4">
              <w:rPr>
                <w:sz w:val="20"/>
                <w:szCs w:val="20"/>
              </w:rPr>
              <w:t>0.02</w:t>
            </w:r>
            <w:r>
              <w:rPr>
                <w:sz w:val="20"/>
                <w:szCs w:val="20"/>
              </w:rPr>
              <w:t>)</w:t>
            </w:r>
          </w:p>
        </w:tc>
        <w:tc>
          <w:tcPr>
            <w:tcW w:w="1279" w:type="dxa"/>
            <w:shd w:val="clear" w:color="auto" w:fill="auto"/>
            <w:noWrap/>
            <w:vAlign w:val="bottom"/>
            <w:hideMark/>
          </w:tcPr>
          <w:p w14:paraId="7B45F221" w14:textId="77777777" w:rsidR="00A20361" w:rsidRPr="00F31BE4" w:rsidRDefault="00A20361" w:rsidP="0048210B">
            <w:pPr>
              <w:jc w:val="right"/>
              <w:rPr>
                <w:sz w:val="20"/>
                <w:szCs w:val="20"/>
              </w:rPr>
            </w:pPr>
            <w:r>
              <w:rPr>
                <w:sz w:val="20"/>
                <w:szCs w:val="20"/>
              </w:rPr>
              <w:t>(</w:t>
            </w:r>
            <w:r w:rsidRPr="00F31BE4">
              <w:rPr>
                <w:sz w:val="20"/>
                <w:szCs w:val="20"/>
              </w:rPr>
              <w:t>0.01</w:t>
            </w:r>
            <w:r>
              <w:rPr>
                <w:sz w:val="20"/>
                <w:szCs w:val="20"/>
              </w:rPr>
              <w:t>)</w:t>
            </w:r>
          </w:p>
        </w:tc>
      </w:tr>
      <w:tr w:rsidR="00A20361" w14:paraId="2AF03197" w14:textId="77777777" w:rsidTr="0048210B">
        <w:trPr>
          <w:trHeight w:val="256"/>
          <w:jc w:val="center"/>
        </w:trPr>
        <w:tc>
          <w:tcPr>
            <w:tcW w:w="2178" w:type="dxa"/>
            <w:shd w:val="clear" w:color="auto" w:fill="auto"/>
            <w:noWrap/>
            <w:vAlign w:val="bottom"/>
            <w:hideMark/>
          </w:tcPr>
          <w:p w14:paraId="177BA5B8" w14:textId="77777777" w:rsidR="00A20361" w:rsidRPr="00F31BE4" w:rsidRDefault="00A20361" w:rsidP="0048210B">
            <w:pPr>
              <w:rPr>
                <w:sz w:val="20"/>
                <w:szCs w:val="20"/>
              </w:rPr>
            </w:pPr>
            <w:r w:rsidRPr="00F31BE4">
              <w:rPr>
                <w:sz w:val="20"/>
                <w:szCs w:val="20"/>
              </w:rPr>
              <w:t xml:space="preserve">Share of people below the 1980 poverty line </w:t>
            </w:r>
          </w:p>
        </w:tc>
        <w:tc>
          <w:tcPr>
            <w:tcW w:w="1279" w:type="dxa"/>
            <w:shd w:val="clear" w:color="auto" w:fill="auto"/>
            <w:noWrap/>
            <w:vAlign w:val="bottom"/>
            <w:hideMark/>
          </w:tcPr>
          <w:p w14:paraId="7D913CA3" w14:textId="77777777" w:rsidR="00A20361" w:rsidRPr="00F31BE4" w:rsidRDefault="00A20361" w:rsidP="0048210B">
            <w:pPr>
              <w:jc w:val="right"/>
              <w:rPr>
                <w:sz w:val="20"/>
                <w:szCs w:val="20"/>
              </w:rPr>
            </w:pPr>
            <w:r w:rsidRPr="00F31BE4">
              <w:rPr>
                <w:sz w:val="20"/>
                <w:szCs w:val="20"/>
              </w:rPr>
              <w:t>0.16</w:t>
            </w:r>
          </w:p>
        </w:tc>
        <w:tc>
          <w:tcPr>
            <w:tcW w:w="1279" w:type="dxa"/>
            <w:shd w:val="clear" w:color="auto" w:fill="auto"/>
            <w:noWrap/>
            <w:vAlign w:val="bottom"/>
            <w:hideMark/>
          </w:tcPr>
          <w:p w14:paraId="47D02D47" w14:textId="77777777" w:rsidR="00A20361" w:rsidRPr="00F31BE4" w:rsidRDefault="00A20361" w:rsidP="0048210B">
            <w:pPr>
              <w:jc w:val="right"/>
              <w:rPr>
                <w:sz w:val="20"/>
                <w:szCs w:val="20"/>
              </w:rPr>
            </w:pPr>
            <w:r w:rsidRPr="00F31BE4">
              <w:rPr>
                <w:sz w:val="20"/>
                <w:szCs w:val="20"/>
              </w:rPr>
              <w:t>0.15</w:t>
            </w:r>
          </w:p>
        </w:tc>
        <w:tc>
          <w:tcPr>
            <w:tcW w:w="1279" w:type="dxa"/>
            <w:shd w:val="clear" w:color="auto" w:fill="auto"/>
            <w:noWrap/>
            <w:vAlign w:val="bottom"/>
            <w:hideMark/>
          </w:tcPr>
          <w:p w14:paraId="1865E492" w14:textId="77777777" w:rsidR="00A20361" w:rsidRPr="00F31BE4" w:rsidRDefault="00A20361" w:rsidP="0048210B">
            <w:pPr>
              <w:jc w:val="right"/>
              <w:rPr>
                <w:sz w:val="20"/>
                <w:szCs w:val="20"/>
              </w:rPr>
            </w:pPr>
            <w:r w:rsidRPr="00F31BE4">
              <w:rPr>
                <w:sz w:val="20"/>
                <w:szCs w:val="20"/>
              </w:rPr>
              <w:t>0.15</w:t>
            </w:r>
          </w:p>
        </w:tc>
        <w:tc>
          <w:tcPr>
            <w:tcW w:w="1279" w:type="dxa"/>
            <w:shd w:val="clear" w:color="auto" w:fill="auto"/>
            <w:noWrap/>
            <w:vAlign w:val="bottom"/>
            <w:hideMark/>
          </w:tcPr>
          <w:p w14:paraId="17FE7E79" w14:textId="77777777" w:rsidR="00A20361" w:rsidRPr="00F31BE4" w:rsidRDefault="00A20361" w:rsidP="0048210B">
            <w:pPr>
              <w:jc w:val="right"/>
              <w:rPr>
                <w:sz w:val="20"/>
                <w:szCs w:val="20"/>
              </w:rPr>
            </w:pPr>
            <w:r w:rsidRPr="00F31BE4">
              <w:rPr>
                <w:sz w:val="20"/>
                <w:szCs w:val="20"/>
              </w:rPr>
              <w:t>0.14</w:t>
            </w:r>
          </w:p>
        </w:tc>
        <w:tc>
          <w:tcPr>
            <w:tcW w:w="1279" w:type="dxa"/>
            <w:shd w:val="clear" w:color="auto" w:fill="auto"/>
            <w:noWrap/>
            <w:vAlign w:val="bottom"/>
            <w:hideMark/>
          </w:tcPr>
          <w:p w14:paraId="19469BBC" w14:textId="77777777" w:rsidR="00A20361" w:rsidRPr="00F31BE4" w:rsidRDefault="00A20361" w:rsidP="0048210B">
            <w:pPr>
              <w:jc w:val="right"/>
              <w:rPr>
                <w:sz w:val="20"/>
                <w:szCs w:val="20"/>
              </w:rPr>
            </w:pPr>
            <w:r w:rsidRPr="00F31BE4">
              <w:rPr>
                <w:sz w:val="20"/>
                <w:szCs w:val="20"/>
              </w:rPr>
              <w:t>0.16</w:t>
            </w:r>
          </w:p>
        </w:tc>
        <w:tc>
          <w:tcPr>
            <w:tcW w:w="1279" w:type="dxa"/>
            <w:shd w:val="clear" w:color="auto" w:fill="auto"/>
            <w:noWrap/>
            <w:vAlign w:val="bottom"/>
            <w:hideMark/>
          </w:tcPr>
          <w:p w14:paraId="44D1427B" w14:textId="77777777" w:rsidR="00A20361" w:rsidRPr="00F31BE4" w:rsidRDefault="00A20361" w:rsidP="0048210B">
            <w:pPr>
              <w:jc w:val="right"/>
              <w:rPr>
                <w:sz w:val="20"/>
                <w:szCs w:val="20"/>
              </w:rPr>
            </w:pPr>
            <w:r w:rsidRPr="00F31BE4">
              <w:rPr>
                <w:sz w:val="20"/>
                <w:szCs w:val="20"/>
              </w:rPr>
              <w:t>0.15</w:t>
            </w:r>
          </w:p>
        </w:tc>
      </w:tr>
      <w:tr w:rsidR="00A20361" w14:paraId="7FD8CC63" w14:textId="77777777" w:rsidTr="0048210B">
        <w:trPr>
          <w:trHeight w:val="256"/>
          <w:jc w:val="center"/>
        </w:trPr>
        <w:tc>
          <w:tcPr>
            <w:tcW w:w="2178" w:type="dxa"/>
            <w:shd w:val="clear" w:color="auto" w:fill="auto"/>
            <w:noWrap/>
            <w:vAlign w:val="bottom"/>
            <w:hideMark/>
          </w:tcPr>
          <w:p w14:paraId="5BAB3D94" w14:textId="77777777" w:rsidR="00A20361" w:rsidRPr="00F31BE4" w:rsidRDefault="00A20361" w:rsidP="0048210B">
            <w:pPr>
              <w:jc w:val="right"/>
              <w:rPr>
                <w:sz w:val="20"/>
                <w:szCs w:val="20"/>
              </w:rPr>
            </w:pPr>
          </w:p>
        </w:tc>
        <w:tc>
          <w:tcPr>
            <w:tcW w:w="1279" w:type="dxa"/>
            <w:shd w:val="clear" w:color="auto" w:fill="auto"/>
            <w:noWrap/>
            <w:vAlign w:val="bottom"/>
            <w:hideMark/>
          </w:tcPr>
          <w:p w14:paraId="53663ACB"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c>
          <w:tcPr>
            <w:tcW w:w="1279" w:type="dxa"/>
            <w:shd w:val="clear" w:color="auto" w:fill="auto"/>
            <w:noWrap/>
            <w:vAlign w:val="bottom"/>
            <w:hideMark/>
          </w:tcPr>
          <w:p w14:paraId="13EA6A65"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c>
          <w:tcPr>
            <w:tcW w:w="1279" w:type="dxa"/>
            <w:shd w:val="clear" w:color="auto" w:fill="auto"/>
            <w:noWrap/>
            <w:vAlign w:val="bottom"/>
            <w:hideMark/>
          </w:tcPr>
          <w:p w14:paraId="230066B5" w14:textId="77777777" w:rsidR="00A20361" w:rsidRPr="00F31BE4" w:rsidRDefault="00A20361" w:rsidP="0048210B">
            <w:pPr>
              <w:jc w:val="right"/>
              <w:rPr>
                <w:sz w:val="20"/>
                <w:szCs w:val="20"/>
              </w:rPr>
            </w:pPr>
            <w:r>
              <w:rPr>
                <w:sz w:val="20"/>
                <w:szCs w:val="20"/>
              </w:rPr>
              <w:t>(</w:t>
            </w:r>
            <w:r w:rsidRPr="00F31BE4">
              <w:rPr>
                <w:sz w:val="20"/>
                <w:szCs w:val="20"/>
              </w:rPr>
              <w:t>0.04</w:t>
            </w:r>
            <w:r>
              <w:rPr>
                <w:sz w:val="20"/>
                <w:szCs w:val="20"/>
              </w:rPr>
              <w:t>)</w:t>
            </w:r>
          </w:p>
        </w:tc>
        <w:tc>
          <w:tcPr>
            <w:tcW w:w="1279" w:type="dxa"/>
            <w:shd w:val="clear" w:color="auto" w:fill="auto"/>
            <w:noWrap/>
            <w:vAlign w:val="bottom"/>
            <w:hideMark/>
          </w:tcPr>
          <w:p w14:paraId="6170E234" w14:textId="77777777" w:rsidR="00A20361" w:rsidRPr="00F31BE4" w:rsidRDefault="00A20361" w:rsidP="0048210B">
            <w:pPr>
              <w:jc w:val="right"/>
              <w:rPr>
                <w:sz w:val="20"/>
                <w:szCs w:val="20"/>
              </w:rPr>
            </w:pPr>
            <w:r>
              <w:rPr>
                <w:sz w:val="20"/>
                <w:szCs w:val="20"/>
              </w:rPr>
              <w:t>(</w:t>
            </w:r>
            <w:r w:rsidRPr="00F31BE4">
              <w:rPr>
                <w:sz w:val="20"/>
                <w:szCs w:val="20"/>
              </w:rPr>
              <w:t>0.04</w:t>
            </w:r>
            <w:r>
              <w:rPr>
                <w:sz w:val="20"/>
                <w:szCs w:val="20"/>
              </w:rPr>
              <w:t>)</w:t>
            </w:r>
          </w:p>
        </w:tc>
        <w:tc>
          <w:tcPr>
            <w:tcW w:w="1279" w:type="dxa"/>
            <w:shd w:val="clear" w:color="auto" w:fill="auto"/>
            <w:noWrap/>
            <w:vAlign w:val="bottom"/>
            <w:hideMark/>
          </w:tcPr>
          <w:p w14:paraId="42A2C46D"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c>
          <w:tcPr>
            <w:tcW w:w="1279" w:type="dxa"/>
            <w:shd w:val="clear" w:color="auto" w:fill="auto"/>
            <w:noWrap/>
            <w:vAlign w:val="bottom"/>
            <w:hideMark/>
          </w:tcPr>
          <w:p w14:paraId="795653C6" w14:textId="77777777" w:rsidR="00A20361" w:rsidRPr="00F31BE4" w:rsidRDefault="00A20361" w:rsidP="0048210B">
            <w:pPr>
              <w:jc w:val="right"/>
              <w:rPr>
                <w:sz w:val="20"/>
                <w:szCs w:val="20"/>
              </w:rPr>
            </w:pPr>
            <w:r>
              <w:rPr>
                <w:sz w:val="20"/>
                <w:szCs w:val="20"/>
              </w:rPr>
              <w:t>(</w:t>
            </w:r>
            <w:r w:rsidRPr="00F31BE4">
              <w:rPr>
                <w:sz w:val="20"/>
                <w:szCs w:val="20"/>
              </w:rPr>
              <w:t>0.04</w:t>
            </w:r>
            <w:r>
              <w:rPr>
                <w:sz w:val="20"/>
                <w:szCs w:val="20"/>
              </w:rPr>
              <w:t>)</w:t>
            </w:r>
          </w:p>
        </w:tc>
      </w:tr>
      <w:tr w:rsidR="00A20361" w14:paraId="5E66B3DC" w14:textId="77777777" w:rsidTr="0048210B">
        <w:trPr>
          <w:trHeight w:val="256"/>
          <w:jc w:val="center"/>
        </w:trPr>
        <w:tc>
          <w:tcPr>
            <w:tcW w:w="2178" w:type="dxa"/>
            <w:shd w:val="clear" w:color="auto" w:fill="auto"/>
            <w:noWrap/>
            <w:vAlign w:val="bottom"/>
            <w:hideMark/>
          </w:tcPr>
          <w:p w14:paraId="3B25DCBD" w14:textId="77777777" w:rsidR="00A20361" w:rsidRPr="00F31BE4" w:rsidRDefault="00A20361" w:rsidP="0048210B">
            <w:pPr>
              <w:rPr>
                <w:sz w:val="20"/>
                <w:szCs w:val="20"/>
              </w:rPr>
            </w:pPr>
            <w:r w:rsidRPr="00F31BE4">
              <w:rPr>
                <w:sz w:val="20"/>
                <w:szCs w:val="20"/>
              </w:rPr>
              <w:t>Share of Hispanics</w:t>
            </w:r>
          </w:p>
        </w:tc>
        <w:tc>
          <w:tcPr>
            <w:tcW w:w="1279" w:type="dxa"/>
            <w:shd w:val="clear" w:color="auto" w:fill="auto"/>
            <w:noWrap/>
            <w:vAlign w:val="bottom"/>
            <w:hideMark/>
          </w:tcPr>
          <w:p w14:paraId="3692125B" w14:textId="77777777" w:rsidR="00A20361" w:rsidRPr="00F31BE4" w:rsidRDefault="00A20361" w:rsidP="0048210B">
            <w:pPr>
              <w:jc w:val="right"/>
              <w:rPr>
                <w:sz w:val="20"/>
                <w:szCs w:val="20"/>
              </w:rPr>
            </w:pPr>
            <w:r w:rsidRPr="00F31BE4">
              <w:rPr>
                <w:sz w:val="20"/>
                <w:szCs w:val="20"/>
              </w:rPr>
              <w:t>0.07</w:t>
            </w:r>
          </w:p>
        </w:tc>
        <w:tc>
          <w:tcPr>
            <w:tcW w:w="1279" w:type="dxa"/>
            <w:shd w:val="clear" w:color="auto" w:fill="auto"/>
            <w:noWrap/>
            <w:vAlign w:val="bottom"/>
            <w:hideMark/>
          </w:tcPr>
          <w:p w14:paraId="1CD702C7" w14:textId="77777777" w:rsidR="00A20361" w:rsidRPr="00F31BE4" w:rsidRDefault="00A20361" w:rsidP="0048210B">
            <w:pPr>
              <w:jc w:val="right"/>
              <w:rPr>
                <w:sz w:val="20"/>
                <w:szCs w:val="20"/>
              </w:rPr>
            </w:pPr>
            <w:r w:rsidRPr="00F31BE4">
              <w:rPr>
                <w:sz w:val="20"/>
                <w:szCs w:val="20"/>
              </w:rPr>
              <w:t>0.1</w:t>
            </w:r>
          </w:p>
        </w:tc>
        <w:tc>
          <w:tcPr>
            <w:tcW w:w="1279" w:type="dxa"/>
            <w:shd w:val="clear" w:color="auto" w:fill="auto"/>
            <w:noWrap/>
            <w:vAlign w:val="bottom"/>
            <w:hideMark/>
          </w:tcPr>
          <w:p w14:paraId="7F925E56" w14:textId="77777777" w:rsidR="00A20361" w:rsidRPr="00F31BE4" w:rsidRDefault="00A20361" w:rsidP="0048210B">
            <w:pPr>
              <w:jc w:val="right"/>
              <w:rPr>
                <w:sz w:val="20"/>
                <w:szCs w:val="20"/>
              </w:rPr>
            </w:pPr>
            <w:r w:rsidRPr="00F31BE4">
              <w:rPr>
                <w:sz w:val="20"/>
                <w:szCs w:val="20"/>
              </w:rPr>
              <w:t>0.13</w:t>
            </w:r>
          </w:p>
        </w:tc>
        <w:tc>
          <w:tcPr>
            <w:tcW w:w="1279" w:type="dxa"/>
            <w:shd w:val="clear" w:color="auto" w:fill="auto"/>
            <w:noWrap/>
            <w:vAlign w:val="bottom"/>
            <w:hideMark/>
          </w:tcPr>
          <w:p w14:paraId="2D3A057A" w14:textId="77777777" w:rsidR="00A20361" w:rsidRPr="00F31BE4" w:rsidRDefault="00A20361" w:rsidP="0048210B">
            <w:pPr>
              <w:jc w:val="right"/>
              <w:rPr>
                <w:sz w:val="20"/>
                <w:szCs w:val="20"/>
              </w:rPr>
            </w:pPr>
            <w:r w:rsidRPr="00F31BE4">
              <w:rPr>
                <w:sz w:val="20"/>
                <w:szCs w:val="20"/>
              </w:rPr>
              <w:t>0.12</w:t>
            </w:r>
          </w:p>
        </w:tc>
        <w:tc>
          <w:tcPr>
            <w:tcW w:w="1279" w:type="dxa"/>
            <w:shd w:val="clear" w:color="auto" w:fill="auto"/>
            <w:noWrap/>
            <w:vAlign w:val="bottom"/>
            <w:hideMark/>
          </w:tcPr>
          <w:p w14:paraId="25F0D318" w14:textId="77777777" w:rsidR="00A20361" w:rsidRPr="00F31BE4" w:rsidRDefault="00A20361" w:rsidP="0048210B">
            <w:pPr>
              <w:jc w:val="right"/>
              <w:rPr>
                <w:sz w:val="20"/>
                <w:szCs w:val="20"/>
              </w:rPr>
            </w:pPr>
            <w:r w:rsidRPr="00F31BE4">
              <w:rPr>
                <w:sz w:val="20"/>
                <w:szCs w:val="20"/>
              </w:rPr>
              <w:t>0.16</w:t>
            </w:r>
          </w:p>
        </w:tc>
        <w:tc>
          <w:tcPr>
            <w:tcW w:w="1279" w:type="dxa"/>
            <w:shd w:val="clear" w:color="auto" w:fill="auto"/>
            <w:noWrap/>
            <w:vAlign w:val="bottom"/>
            <w:hideMark/>
          </w:tcPr>
          <w:p w14:paraId="22DEF4EC" w14:textId="77777777" w:rsidR="00A20361" w:rsidRPr="00F31BE4" w:rsidRDefault="00A20361" w:rsidP="0048210B">
            <w:pPr>
              <w:jc w:val="right"/>
              <w:rPr>
                <w:sz w:val="20"/>
                <w:szCs w:val="20"/>
              </w:rPr>
            </w:pPr>
            <w:r w:rsidRPr="00F31BE4">
              <w:rPr>
                <w:sz w:val="20"/>
                <w:szCs w:val="20"/>
              </w:rPr>
              <w:t>0.15</w:t>
            </w:r>
          </w:p>
        </w:tc>
      </w:tr>
      <w:tr w:rsidR="00A20361" w14:paraId="48C902E5" w14:textId="77777777" w:rsidTr="0048210B">
        <w:trPr>
          <w:trHeight w:val="256"/>
          <w:jc w:val="center"/>
        </w:trPr>
        <w:tc>
          <w:tcPr>
            <w:tcW w:w="2178" w:type="dxa"/>
            <w:shd w:val="clear" w:color="auto" w:fill="auto"/>
            <w:noWrap/>
            <w:vAlign w:val="bottom"/>
            <w:hideMark/>
          </w:tcPr>
          <w:p w14:paraId="250EEC9E" w14:textId="77777777" w:rsidR="00A20361" w:rsidRPr="00F31BE4" w:rsidRDefault="00A20361" w:rsidP="0048210B">
            <w:pPr>
              <w:jc w:val="right"/>
              <w:rPr>
                <w:sz w:val="20"/>
                <w:szCs w:val="20"/>
              </w:rPr>
            </w:pPr>
          </w:p>
        </w:tc>
        <w:tc>
          <w:tcPr>
            <w:tcW w:w="1279" w:type="dxa"/>
            <w:shd w:val="clear" w:color="auto" w:fill="auto"/>
            <w:noWrap/>
            <w:vAlign w:val="bottom"/>
            <w:hideMark/>
          </w:tcPr>
          <w:p w14:paraId="4898403D" w14:textId="77777777" w:rsidR="00A20361" w:rsidRPr="00F31BE4" w:rsidRDefault="00A20361" w:rsidP="0048210B">
            <w:pPr>
              <w:jc w:val="right"/>
              <w:rPr>
                <w:sz w:val="20"/>
                <w:szCs w:val="20"/>
              </w:rPr>
            </w:pPr>
            <w:r>
              <w:rPr>
                <w:sz w:val="20"/>
                <w:szCs w:val="20"/>
              </w:rPr>
              <w:t>(</w:t>
            </w:r>
            <w:r w:rsidRPr="00F31BE4">
              <w:rPr>
                <w:sz w:val="20"/>
                <w:szCs w:val="20"/>
              </w:rPr>
              <w:t>0.11</w:t>
            </w:r>
            <w:r>
              <w:rPr>
                <w:sz w:val="20"/>
                <w:szCs w:val="20"/>
              </w:rPr>
              <w:t>)</w:t>
            </w:r>
          </w:p>
        </w:tc>
        <w:tc>
          <w:tcPr>
            <w:tcW w:w="1279" w:type="dxa"/>
            <w:shd w:val="clear" w:color="auto" w:fill="auto"/>
            <w:noWrap/>
            <w:vAlign w:val="bottom"/>
            <w:hideMark/>
          </w:tcPr>
          <w:p w14:paraId="13E55202" w14:textId="77777777" w:rsidR="00A20361" w:rsidRPr="00F31BE4" w:rsidRDefault="00A20361" w:rsidP="0048210B">
            <w:pPr>
              <w:jc w:val="right"/>
              <w:rPr>
                <w:sz w:val="20"/>
                <w:szCs w:val="20"/>
              </w:rPr>
            </w:pPr>
            <w:r>
              <w:rPr>
                <w:sz w:val="20"/>
                <w:szCs w:val="20"/>
              </w:rPr>
              <w:t>(</w:t>
            </w:r>
            <w:r w:rsidRPr="00F31BE4">
              <w:rPr>
                <w:sz w:val="20"/>
                <w:szCs w:val="20"/>
              </w:rPr>
              <w:t>0.13</w:t>
            </w:r>
            <w:r>
              <w:rPr>
                <w:sz w:val="20"/>
                <w:szCs w:val="20"/>
              </w:rPr>
              <w:t>)</w:t>
            </w:r>
          </w:p>
        </w:tc>
        <w:tc>
          <w:tcPr>
            <w:tcW w:w="1279" w:type="dxa"/>
            <w:shd w:val="clear" w:color="auto" w:fill="auto"/>
            <w:noWrap/>
            <w:vAlign w:val="bottom"/>
            <w:hideMark/>
          </w:tcPr>
          <w:p w14:paraId="5F87D524" w14:textId="77777777" w:rsidR="00A20361" w:rsidRPr="00F31BE4" w:rsidRDefault="00A20361" w:rsidP="0048210B">
            <w:pPr>
              <w:jc w:val="right"/>
              <w:rPr>
                <w:sz w:val="20"/>
                <w:szCs w:val="20"/>
              </w:rPr>
            </w:pPr>
            <w:r>
              <w:rPr>
                <w:sz w:val="20"/>
                <w:szCs w:val="20"/>
              </w:rPr>
              <w:t>(</w:t>
            </w:r>
            <w:r w:rsidRPr="00F31BE4">
              <w:rPr>
                <w:sz w:val="20"/>
                <w:szCs w:val="20"/>
              </w:rPr>
              <w:t>0.13</w:t>
            </w:r>
            <w:r>
              <w:rPr>
                <w:sz w:val="20"/>
                <w:szCs w:val="20"/>
              </w:rPr>
              <w:t>)</w:t>
            </w:r>
          </w:p>
        </w:tc>
        <w:tc>
          <w:tcPr>
            <w:tcW w:w="1279" w:type="dxa"/>
            <w:shd w:val="clear" w:color="auto" w:fill="auto"/>
            <w:noWrap/>
            <w:vAlign w:val="bottom"/>
            <w:hideMark/>
          </w:tcPr>
          <w:p w14:paraId="7908ABAD" w14:textId="77777777" w:rsidR="00A20361" w:rsidRPr="00F31BE4" w:rsidRDefault="00A20361" w:rsidP="0048210B">
            <w:pPr>
              <w:jc w:val="right"/>
              <w:rPr>
                <w:sz w:val="20"/>
                <w:szCs w:val="20"/>
              </w:rPr>
            </w:pPr>
            <w:r>
              <w:rPr>
                <w:sz w:val="20"/>
                <w:szCs w:val="20"/>
              </w:rPr>
              <w:t>(</w:t>
            </w:r>
            <w:r w:rsidRPr="00F31BE4">
              <w:rPr>
                <w:sz w:val="20"/>
                <w:szCs w:val="20"/>
              </w:rPr>
              <w:t>0.15</w:t>
            </w:r>
            <w:r>
              <w:rPr>
                <w:sz w:val="20"/>
                <w:szCs w:val="20"/>
              </w:rPr>
              <w:t>)</w:t>
            </w:r>
          </w:p>
        </w:tc>
        <w:tc>
          <w:tcPr>
            <w:tcW w:w="1279" w:type="dxa"/>
            <w:shd w:val="clear" w:color="auto" w:fill="auto"/>
            <w:noWrap/>
            <w:vAlign w:val="bottom"/>
            <w:hideMark/>
          </w:tcPr>
          <w:p w14:paraId="5CAF17BD" w14:textId="77777777" w:rsidR="00A20361" w:rsidRPr="00F31BE4" w:rsidRDefault="00A20361" w:rsidP="0048210B">
            <w:pPr>
              <w:jc w:val="right"/>
              <w:rPr>
                <w:sz w:val="20"/>
                <w:szCs w:val="20"/>
              </w:rPr>
            </w:pPr>
            <w:r>
              <w:rPr>
                <w:sz w:val="20"/>
                <w:szCs w:val="20"/>
              </w:rPr>
              <w:t>(</w:t>
            </w:r>
            <w:r w:rsidRPr="00F31BE4">
              <w:rPr>
                <w:sz w:val="20"/>
                <w:szCs w:val="20"/>
              </w:rPr>
              <w:t>0.16</w:t>
            </w:r>
            <w:r>
              <w:rPr>
                <w:sz w:val="20"/>
                <w:szCs w:val="20"/>
              </w:rPr>
              <w:t>)</w:t>
            </w:r>
          </w:p>
        </w:tc>
        <w:tc>
          <w:tcPr>
            <w:tcW w:w="1279" w:type="dxa"/>
            <w:shd w:val="clear" w:color="auto" w:fill="auto"/>
            <w:noWrap/>
            <w:vAlign w:val="bottom"/>
            <w:hideMark/>
          </w:tcPr>
          <w:p w14:paraId="442E8C4B" w14:textId="77777777" w:rsidR="00A20361" w:rsidRPr="00F31BE4" w:rsidRDefault="00A20361" w:rsidP="0048210B">
            <w:pPr>
              <w:jc w:val="right"/>
              <w:rPr>
                <w:sz w:val="20"/>
                <w:szCs w:val="20"/>
              </w:rPr>
            </w:pPr>
            <w:r>
              <w:rPr>
                <w:sz w:val="20"/>
                <w:szCs w:val="20"/>
              </w:rPr>
              <w:t>(</w:t>
            </w:r>
            <w:r w:rsidRPr="00F31BE4">
              <w:rPr>
                <w:sz w:val="20"/>
                <w:szCs w:val="20"/>
              </w:rPr>
              <w:t>0.15</w:t>
            </w:r>
            <w:r>
              <w:rPr>
                <w:sz w:val="20"/>
                <w:szCs w:val="20"/>
              </w:rPr>
              <w:t>)</w:t>
            </w:r>
          </w:p>
        </w:tc>
      </w:tr>
      <w:tr w:rsidR="00A20361" w14:paraId="02BD9C9B" w14:textId="77777777" w:rsidTr="0048210B">
        <w:trPr>
          <w:trHeight w:val="256"/>
          <w:jc w:val="center"/>
        </w:trPr>
        <w:tc>
          <w:tcPr>
            <w:tcW w:w="2178" w:type="dxa"/>
            <w:shd w:val="clear" w:color="auto" w:fill="auto"/>
            <w:noWrap/>
            <w:vAlign w:val="bottom"/>
            <w:hideMark/>
          </w:tcPr>
          <w:p w14:paraId="6280E960" w14:textId="77777777" w:rsidR="00A20361" w:rsidRPr="00F31BE4" w:rsidRDefault="00A20361" w:rsidP="0048210B">
            <w:pPr>
              <w:rPr>
                <w:sz w:val="20"/>
                <w:szCs w:val="20"/>
              </w:rPr>
            </w:pPr>
            <w:r w:rsidRPr="00F31BE4">
              <w:rPr>
                <w:sz w:val="20"/>
                <w:szCs w:val="20"/>
              </w:rPr>
              <w:t>Share of Black</w:t>
            </w:r>
          </w:p>
        </w:tc>
        <w:tc>
          <w:tcPr>
            <w:tcW w:w="1279" w:type="dxa"/>
            <w:shd w:val="clear" w:color="auto" w:fill="auto"/>
            <w:noWrap/>
            <w:vAlign w:val="bottom"/>
            <w:hideMark/>
          </w:tcPr>
          <w:p w14:paraId="0685EE15" w14:textId="77777777" w:rsidR="00A20361" w:rsidRPr="00F31BE4" w:rsidRDefault="00A20361" w:rsidP="0048210B">
            <w:pPr>
              <w:jc w:val="right"/>
              <w:rPr>
                <w:sz w:val="20"/>
                <w:szCs w:val="20"/>
              </w:rPr>
            </w:pPr>
            <w:r w:rsidRPr="00F31BE4">
              <w:rPr>
                <w:sz w:val="20"/>
                <w:szCs w:val="20"/>
              </w:rPr>
              <w:t>0.12</w:t>
            </w:r>
          </w:p>
        </w:tc>
        <w:tc>
          <w:tcPr>
            <w:tcW w:w="1279" w:type="dxa"/>
            <w:shd w:val="clear" w:color="auto" w:fill="auto"/>
            <w:noWrap/>
            <w:vAlign w:val="bottom"/>
            <w:hideMark/>
          </w:tcPr>
          <w:p w14:paraId="5B0B45D0" w14:textId="77777777" w:rsidR="00A20361" w:rsidRPr="00F31BE4" w:rsidRDefault="00A20361" w:rsidP="0048210B">
            <w:pPr>
              <w:jc w:val="right"/>
              <w:rPr>
                <w:sz w:val="20"/>
                <w:szCs w:val="20"/>
              </w:rPr>
            </w:pPr>
            <w:r w:rsidRPr="00F31BE4">
              <w:rPr>
                <w:sz w:val="20"/>
                <w:szCs w:val="20"/>
              </w:rPr>
              <w:t>0.12</w:t>
            </w:r>
          </w:p>
        </w:tc>
        <w:tc>
          <w:tcPr>
            <w:tcW w:w="1279" w:type="dxa"/>
            <w:shd w:val="clear" w:color="auto" w:fill="auto"/>
            <w:noWrap/>
            <w:vAlign w:val="bottom"/>
            <w:hideMark/>
          </w:tcPr>
          <w:p w14:paraId="5A822084" w14:textId="77777777" w:rsidR="00A20361" w:rsidRPr="00F31BE4" w:rsidRDefault="00A20361" w:rsidP="0048210B">
            <w:pPr>
              <w:jc w:val="right"/>
              <w:rPr>
                <w:sz w:val="20"/>
                <w:szCs w:val="20"/>
              </w:rPr>
            </w:pPr>
            <w:r w:rsidRPr="00F31BE4">
              <w:rPr>
                <w:sz w:val="20"/>
                <w:szCs w:val="20"/>
              </w:rPr>
              <w:t>0.15</w:t>
            </w:r>
          </w:p>
        </w:tc>
        <w:tc>
          <w:tcPr>
            <w:tcW w:w="1279" w:type="dxa"/>
            <w:shd w:val="clear" w:color="auto" w:fill="auto"/>
            <w:noWrap/>
            <w:vAlign w:val="bottom"/>
            <w:hideMark/>
          </w:tcPr>
          <w:p w14:paraId="4D264DA1" w14:textId="77777777" w:rsidR="00A20361" w:rsidRPr="00F31BE4" w:rsidRDefault="00A20361" w:rsidP="0048210B">
            <w:pPr>
              <w:jc w:val="right"/>
              <w:rPr>
                <w:sz w:val="20"/>
                <w:szCs w:val="20"/>
              </w:rPr>
            </w:pPr>
            <w:r w:rsidRPr="00F31BE4">
              <w:rPr>
                <w:sz w:val="20"/>
                <w:szCs w:val="20"/>
              </w:rPr>
              <w:t>0.1</w:t>
            </w:r>
          </w:p>
        </w:tc>
        <w:tc>
          <w:tcPr>
            <w:tcW w:w="1279" w:type="dxa"/>
            <w:shd w:val="clear" w:color="auto" w:fill="auto"/>
            <w:noWrap/>
            <w:vAlign w:val="bottom"/>
            <w:hideMark/>
          </w:tcPr>
          <w:p w14:paraId="517D05FC" w14:textId="77777777" w:rsidR="00A20361" w:rsidRPr="00F31BE4" w:rsidRDefault="00A20361" w:rsidP="0048210B">
            <w:pPr>
              <w:jc w:val="right"/>
              <w:rPr>
                <w:sz w:val="20"/>
                <w:szCs w:val="20"/>
              </w:rPr>
            </w:pPr>
            <w:r w:rsidRPr="00F31BE4">
              <w:rPr>
                <w:sz w:val="20"/>
                <w:szCs w:val="20"/>
              </w:rPr>
              <w:t>0.15</w:t>
            </w:r>
          </w:p>
        </w:tc>
        <w:tc>
          <w:tcPr>
            <w:tcW w:w="1279" w:type="dxa"/>
            <w:shd w:val="clear" w:color="auto" w:fill="auto"/>
            <w:noWrap/>
            <w:vAlign w:val="bottom"/>
            <w:hideMark/>
          </w:tcPr>
          <w:p w14:paraId="445B6EFC" w14:textId="77777777" w:rsidR="00A20361" w:rsidRPr="00F31BE4" w:rsidRDefault="00A20361" w:rsidP="0048210B">
            <w:pPr>
              <w:jc w:val="right"/>
              <w:rPr>
                <w:sz w:val="20"/>
                <w:szCs w:val="20"/>
              </w:rPr>
            </w:pPr>
            <w:r w:rsidRPr="00F31BE4">
              <w:rPr>
                <w:sz w:val="20"/>
                <w:szCs w:val="20"/>
              </w:rPr>
              <w:t>0.1</w:t>
            </w:r>
          </w:p>
        </w:tc>
      </w:tr>
      <w:tr w:rsidR="00A20361" w14:paraId="5D5282F7" w14:textId="77777777" w:rsidTr="0048210B">
        <w:trPr>
          <w:trHeight w:val="256"/>
          <w:jc w:val="center"/>
        </w:trPr>
        <w:tc>
          <w:tcPr>
            <w:tcW w:w="2178" w:type="dxa"/>
            <w:shd w:val="clear" w:color="auto" w:fill="auto"/>
            <w:noWrap/>
            <w:vAlign w:val="bottom"/>
            <w:hideMark/>
          </w:tcPr>
          <w:p w14:paraId="3F2D9EBB" w14:textId="77777777" w:rsidR="00A20361" w:rsidRPr="00F31BE4" w:rsidRDefault="00A20361" w:rsidP="0048210B">
            <w:pPr>
              <w:jc w:val="right"/>
              <w:rPr>
                <w:sz w:val="20"/>
                <w:szCs w:val="20"/>
              </w:rPr>
            </w:pPr>
          </w:p>
        </w:tc>
        <w:tc>
          <w:tcPr>
            <w:tcW w:w="1279" w:type="dxa"/>
            <w:shd w:val="clear" w:color="auto" w:fill="auto"/>
            <w:noWrap/>
            <w:vAlign w:val="bottom"/>
            <w:hideMark/>
          </w:tcPr>
          <w:p w14:paraId="542F3D28" w14:textId="77777777" w:rsidR="00A20361" w:rsidRPr="00F31BE4" w:rsidRDefault="00A20361" w:rsidP="0048210B">
            <w:pPr>
              <w:jc w:val="right"/>
              <w:rPr>
                <w:sz w:val="20"/>
                <w:szCs w:val="20"/>
              </w:rPr>
            </w:pPr>
            <w:r>
              <w:rPr>
                <w:sz w:val="20"/>
                <w:szCs w:val="20"/>
              </w:rPr>
              <w:t>(</w:t>
            </w:r>
            <w:r w:rsidRPr="00F31BE4">
              <w:rPr>
                <w:sz w:val="20"/>
                <w:szCs w:val="20"/>
              </w:rPr>
              <w:t>0.1</w:t>
            </w:r>
            <w:r>
              <w:rPr>
                <w:sz w:val="20"/>
                <w:szCs w:val="20"/>
              </w:rPr>
              <w:t>)</w:t>
            </w:r>
          </w:p>
        </w:tc>
        <w:tc>
          <w:tcPr>
            <w:tcW w:w="1279" w:type="dxa"/>
            <w:shd w:val="clear" w:color="auto" w:fill="auto"/>
            <w:noWrap/>
            <w:vAlign w:val="bottom"/>
            <w:hideMark/>
          </w:tcPr>
          <w:p w14:paraId="334A147A" w14:textId="77777777" w:rsidR="00A20361" w:rsidRPr="00F31BE4" w:rsidRDefault="00A20361" w:rsidP="0048210B">
            <w:pPr>
              <w:jc w:val="right"/>
              <w:rPr>
                <w:sz w:val="20"/>
                <w:szCs w:val="20"/>
              </w:rPr>
            </w:pPr>
            <w:r>
              <w:rPr>
                <w:sz w:val="20"/>
                <w:szCs w:val="20"/>
              </w:rPr>
              <w:t>(</w:t>
            </w:r>
            <w:r w:rsidRPr="00F31BE4">
              <w:rPr>
                <w:sz w:val="20"/>
                <w:szCs w:val="20"/>
              </w:rPr>
              <w:t>0.09</w:t>
            </w:r>
            <w:r>
              <w:rPr>
                <w:sz w:val="20"/>
                <w:szCs w:val="20"/>
              </w:rPr>
              <w:t>)</w:t>
            </w:r>
          </w:p>
        </w:tc>
        <w:tc>
          <w:tcPr>
            <w:tcW w:w="1279" w:type="dxa"/>
            <w:shd w:val="clear" w:color="auto" w:fill="auto"/>
            <w:noWrap/>
            <w:vAlign w:val="bottom"/>
            <w:hideMark/>
          </w:tcPr>
          <w:p w14:paraId="3C006A35" w14:textId="77777777" w:rsidR="00A20361" w:rsidRPr="00F31BE4" w:rsidRDefault="00A20361" w:rsidP="0048210B">
            <w:pPr>
              <w:jc w:val="right"/>
              <w:rPr>
                <w:sz w:val="20"/>
                <w:szCs w:val="20"/>
              </w:rPr>
            </w:pPr>
            <w:r>
              <w:rPr>
                <w:sz w:val="20"/>
                <w:szCs w:val="20"/>
              </w:rPr>
              <w:t>(</w:t>
            </w:r>
            <w:r w:rsidRPr="00F31BE4">
              <w:rPr>
                <w:sz w:val="20"/>
                <w:szCs w:val="20"/>
              </w:rPr>
              <w:t>0.11</w:t>
            </w:r>
            <w:r>
              <w:rPr>
                <w:sz w:val="20"/>
                <w:szCs w:val="20"/>
              </w:rPr>
              <w:t>)</w:t>
            </w:r>
          </w:p>
        </w:tc>
        <w:tc>
          <w:tcPr>
            <w:tcW w:w="1279" w:type="dxa"/>
            <w:shd w:val="clear" w:color="auto" w:fill="auto"/>
            <w:noWrap/>
            <w:vAlign w:val="bottom"/>
            <w:hideMark/>
          </w:tcPr>
          <w:p w14:paraId="76F73D94" w14:textId="77777777" w:rsidR="00A20361" w:rsidRPr="00F31BE4" w:rsidRDefault="00A20361" w:rsidP="0048210B">
            <w:pPr>
              <w:jc w:val="right"/>
              <w:rPr>
                <w:sz w:val="20"/>
                <w:szCs w:val="20"/>
              </w:rPr>
            </w:pPr>
            <w:r>
              <w:rPr>
                <w:sz w:val="20"/>
                <w:szCs w:val="20"/>
              </w:rPr>
              <w:t>(</w:t>
            </w:r>
            <w:r w:rsidRPr="00F31BE4">
              <w:rPr>
                <w:sz w:val="20"/>
                <w:szCs w:val="20"/>
              </w:rPr>
              <w:t>0.09</w:t>
            </w:r>
            <w:r>
              <w:rPr>
                <w:sz w:val="20"/>
                <w:szCs w:val="20"/>
              </w:rPr>
              <w:t>)</w:t>
            </w:r>
          </w:p>
        </w:tc>
        <w:tc>
          <w:tcPr>
            <w:tcW w:w="1279" w:type="dxa"/>
            <w:shd w:val="clear" w:color="auto" w:fill="auto"/>
            <w:noWrap/>
            <w:vAlign w:val="bottom"/>
            <w:hideMark/>
          </w:tcPr>
          <w:p w14:paraId="06025E2A" w14:textId="77777777" w:rsidR="00A20361" w:rsidRPr="00F31BE4" w:rsidRDefault="00A20361" w:rsidP="0048210B">
            <w:pPr>
              <w:jc w:val="right"/>
              <w:rPr>
                <w:sz w:val="20"/>
                <w:szCs w:val="20"/>
              </w:rPr>
            </w:pPr>
            <w:r>
              <w:rPr>
                <w:sz w:val="20"/>
                <w:szCs w:val="20"/>
              </w:rPr>
              <w:t>(</w:t>
            </w:r>
            <w:r w:rsidRPr="00F31BE4">
              <w:rPr>
                <w:sz w:val="20"/>
                <w:szCs w:val="20"/>
              </w:rPr>
              <w:t>0.11</w:t>
            </w:r>
            <w:r>
              <w:rPr>
                <w:sz w:val="20"/>
                <w:szCs w:val="20"/>
              </w:rPr>
              <w:t>)</w:t>
            </w:r>
          </w:p>
        </w:tc>
        <w:tc>
          <w:tcPr>
            <w:tcW w:w="1279" w:type="dxa"/>
            <w:shd w:val="clear" w:color="auto" w:fill="auto"/>
            <w:noWrap/>
            <w:vAlign w:val="bottom"/>
            <w:hideMark/>
          </w:tcPr>
          <w:p w14:paraId="23E32D6D" w14:textId="77777777" w:rsidR="00A20361" w:rsidRPr="00F31BE4" w:rsidRDefault="00A20361" w:rsidP="0048210B">
            <w:pPr>
              <w:jc w:val="right"/>
              <w:rPr>
                <w:sz w:val="20"/>
                <w:szCs w:val="20"/>
              </w:rPr>
            </w:pPr>
            <w:r>
              <w:rPr>
                <w:sz w:val="20"/>
                <w:szCs w:val="20"/>
              </w:rPr>
              <w:t>(</w:t>
            </w:r>
            <w:r w:rsidRPr="00F31BE4">
              <w:rPr>
                <w:sz w:val="20"/>
                <w:szCs w:val="20"/>
              </w:rPr>
              <w:t>0.09</w:t>
            </w:r>
            <w:r>
              <w:rPr>
                <w:sz w:val="20"/>
                <w:szCs w:val="20"/>
              </w:rPr>
              <w:t>)</w:t>
            </w:r>
          </w:p>
        </w:tc>
      </w:tr>
      <w:tr w:rsidR="00A20361" w14:paraId="4E838B9F" w14:textId="77777777" w:rsidTr="0048210B">
        <w:trPr>
          <w:trHeight w:val="256"/>
          <w:jc w:val="center"/>
        </w:trPr>
        <w:tc>
          <w:tcPr>
            <w:tcW w:w="2178" w:type="dxa"/>
            <w:shd w:val="clear" w:color="auto" w:fill="auto"/>
            <w:noWrap/>
            <w:vAlign w:val="bottom"/>
            <w:hideMark/>
          </w:tcPr>
          <w:p w14:paraId="41772BCD" w14:textId="77777777" w:rsidR="00A20361" w:rsidRPr="00F31BE4" w:rsidRDefault="00A20361" w:rsidP="0048210B">
            <w:pPr>
              <w:rPr>
                <w:sz w:val="20"/>
                <w:szCs w:val="20"/>
              </w:rPr>
            </w:pPr>
            <w:r w:rsidRPr="00F31BE4">
              <w:rPr>
                <w:sz w:val="20"/>
                <w:szCs w:val="20"/>
              </w:rPr>
              <w:t>Share of white</w:t>
            </w:r>
          </w:p>
        </w:tc>
        <w:tc>
          <w:tcPr>
            <w:tcW w:w="1279" w:type="dxa"/>
            <w:shd w:val="clear" w:color="auto" w:fill="auto"/>
            <w:noWrap/>
            <w:vAlign w:val="bottom"/>
            <w:hideMark/>
          </w:tcPr>
          <w:p w14:paraId="13D82ACC" w14:textId="77777777" w:rsidR="00A20361" w:rsidRPr="00F31BE4" w:rsidRDefault="00A20361" w:rsidP="0048210B">
            <w:pPr>
              <w:jc w:val="right"/>
              <w:rPr>
                <w:sz w:val="20"/>
                <w:szCs w:val="20"/>
              </w:rPr>
            </w:pPr>
            <w:r w:rsidRPr="00F31BE4">
              <w:rPr>
                <w:sz w:val="20"/>
                <w:szCs w:val="20"/>
              </w:rPr>
              <w:t>0.77</w:t>
            </w:r>
          </w:p>
        </w:tc>
        <w:tc>
          <w:tcPr>
            <w:tcW w:w="1279" w:type="dxa"/>
            <w:shd w:val="clear" w:color="auto" w:fill="auto"/>
            <w:noWrap/>
            <w:vAlign w:val="bottom"/>
            <w:hideMark/>
          </w:tcPr>
          <w:p w14:paraId="66EE86FC" w14:textId="77777777" w:rsidR="00A20361" w:rsidRPr="00F31BE4" w:rsidRDefault="00A20361" w:rsidP="0048210B">
            <w:pPr>
              <w:jc w:val="right"/>
              <w:rPr>
                <w:sz w:val="20"/>
                <w:szCs w:val="20"/>
              </w:rPr>
            </w:pPr>
            <w:r w:rsidRPr="00F31BE4">
              <w:rPr>
                <w:sz w:val="20"/>
                <w:szCs w:val="20"/>
              </w:rPr>
              <w:t>0.75</w:t>
            </w:r>
          </w:p>
        </w:tc>
        <w:tc>
          <w:tcPr>
            <w:tcW w:w="1279" w:type="dxa"/>
            <w:shd w:val="clear" w:color="auto" w:fill="auto"/>
            <w:noWrap/>
            <w:vAlign w:val="bottom"/>
            <w:hideMark/>
          </w:tcPr>
          <w:p w14:paraId="67BD5832" w14:textId="77777777" w:rsidR="00A20361" w:rsidRPr="00F31BE4" w:rsidRDefault="00A20361" w:rsidP="0048210B">
            <w:pPr>
              <w:jc w:val="right"/>
              <w:rPr>
                <w:sz w:val="20"/>
                <w:szCs w:val="20"/>
              </w:rPr>
            </w:pPr>
            <w:r w:rsidRPr="00F31BE4">
              <w:rPr>
                <w:sz w:val="20"/>
                <w:szCs w:val="20"/>
              </w:rPr>
              <w:t>0.66</w:t>
            </w:r>
          </w:p>
        </w:tc>
        <w:tc>
          <w:tcPr>
            <w:tcW w:w="1279" w:type="dxa"/>
            <w:shd w:val="clear" w:color="auto" w:fill="auto"/>
            <w:noWrap/>
            <w:vAlign w:val="bottom"/>
            <w:hideMark/>
          </w:tcPr>
          <w:p w14:paraId="65ED7085" w14:textId="77777777" w:rsidR="00A20361" w:rsidRPr="00F31BE4" w:rsidRDefault="00A20361" w:rsidP="0048210B">
            <w:pPr>
              <w:jc w:val="right"/>
              <w:rPr>
                <w:sz w:val="20"/>
                <w:szCs w:val="20"/>
              </w:rPr>
            </w:pPr>
            <w:r w:rsidRPr="00F31BE4">
              <w:rPr>
                <w:sz w:val="20"/>
                <w:szCs w:val="20"/>
              </w:rPr>
              <w:t>0.72</w:t>
            </w:r>
          </w:p>
        </w:tc>
        <w:tc>
          <w:tcPr>
            <w:tcW w:w="1279" w:type="dxa"/>
            <w:shd w:val="clear" w:color="auto" w:fill="auto"/>
            <w:noWrap/>
            <w:vAlign w:val="bottom"/>
            <w:hideMark/>
          </w:tcPr>
          <w:p w14:paraId="61028FE8" w14:textId="77777777" w:rsidR="00A20361" w:rsidRPr="00F31BE4" w:rsidRDefault="00A20361" w:rsidP="0048210B">
            <w:pPr>
              <w:jc w:val="right"/>
              <w:rPr>
                <w:sz w:val="20"/>
                <w:szCs w:val="20"/>
              </w:rPr>
            </w:pPr>
            <w:r w:rsidRPr="00F31BE4">
              <w:rPr>
                <w:sz w:val="20"/>
                <w:szCs w:val="20"/>
              </w:rPr>
              <w:t>0.63</w:t>
            </w:r>
          </w:p>
        </w:tc>
        <w:tc>
          <w:tcPr>
            <w:tcW w:w="1279" w:type="dxa"/>
            <w:shd w:val="clear" w:color="auto" w:fill="auto"/>
            <w:noWrap/>
            <w:vAlign w:val="bottom"/>
            <w:hideMark/>
          </w:tcPr>
          <w:p w14:paraId="3A579F35" w14:textId="77777777" w:rsidR="00A20361" w:rsidRPr="00F31BE4" w:rsidRDefault="00A20361" w:rsidP="0048210B">
            <w:pPr>
              <w:jc w:val="right"/>
              <w:rPr>
                <w:sz w:val="20"/>
                <w:szCs w:val="20"/>
              </w:rPr>
            </w:pPr>
            <w:r w:rsidRPr="00F31BE4">
              <w:rPr>
                <w:sz w:val="20"/>
                <w:szCs w:val="20"/>
              </w:rPr>
              <w:t>0.68</w:t>
            </w:r>
          </w:p>
        </w:tc>
      </w:tr>
      <w:tr w:rsidR="00A20361" w14:paraId="7FA26E0E" w14:textId="77777777" w:rsidTr="0048210B">
        <w:trPr>
          <w:trHeight w:val="256"/>
          <w:jc w:val="center"/>
        </w:trPr>
        <w:tc>
          <w:tcPr>
            <w:tcW w:w="2178" w:type="dxa"/>
            <w:shd w:val="clear" w:color="auto" w:fill="auto"/>
            <w:noWrap/>
            <w:vAlign w:val="bottom"/>
            <w:hideMark/>
          </w:tcPr>
          <w:p w14:paraId="279024A9" w14:textId="77777777" w:rsidR="00A20361" w:rsidRPr="00F31BE4" w:rsidRDefault="00A20361" w:rsidP="0048210B">
            <w:pPr>
              <w:jc w:val="right"/>
              <w:rPr>
                <w:sz w:val="20"/>
                <w:szCs w:val="20"/>
              </w:rPr>
            </w:pPr>
          </w:p>
        </w:tc>
        <w:tc>
          <w:tcPr>
            <w:tcW w:w="1279" w:type="dxa"/>
            <w:shd w:val="clear" w:color="auto" w:fill="auto"/>
            <w:noWrap/>
            <w:vAlign w:val="bottom"/>
            <w:hideMark/>
          </w:tcPr>
          <w:p w14:paraId="5FDB2F53" w14:textId="77777777" w:rsidR="00A20361" w:rsidRPr="00F31BE4" w:rsidRDefault="00A20361" w:rsidP="0048210B">
            <w:pPr>
              <w:jc w:val="right"/>
              <w:rPr>
                <w:sz w:val="20"/>
                <w:szCs w:val="20"/>
              </w:rPr>
            </w:pPr>
            <w:r>
              <w:rPr>
                <w:sz w:val="20"/>
                <w:szCs w:val="20"/>
              </w:rPr>
              <w:t>(</w:t>
            </w:r>
            <w:r w:rsidRPr="00F31BE4">
              <w:rPr>
                <w:sz w:val="20"/>
                <w:szCs w:val="20"/>
              </w:rPr>
              <w:t>0.14</w:t>
            </w:r>
            <w:r>
              <w:rPr>
                <w:sz w:val="20"/>
                <w:szCs w:val="20"/>
              </w:rPr>
              <w:t>)</w:t>
            </w:r>
          </w:p>
        </w:tc>
        <w:tc>
          <w:tcPr>
            <w:tcW w:w="1279" w:type="dxa"/>
            <w:shd w:val="clear" w:color="auto" w:fill="auto"/>
            <w:noWrap/>
            <w:vAlign w:val="bottom"/>
            <w:hideMark/>
          </w:tcPr>
          <w:p w14:paraId="76B36B60" w14:textId="77777777" w:rsidR="00A20361" w:rsidRPr="00F31BE4" w:rsidRDefault="00A20361" w:rsidP="0048210B">
            <w:pPr>
              <w:jc w:val="right"/>
              <w:rPr>
                <w:sz w:val="20"/>
                <w:szCs w:val="20"/>
              </w:rPr>
            </w:pPr>
            <w:r>
              <w:rPr>
                <w:sz w:val="20"/>
                <w:szCs w:val="20"/>
              </w:rPr>
              <w:t>(</w:t>
            </w:r>
            <w:r w:rsidRPr="00F31BE4">
              <w:rPr>
                <w:sz w:val="20"/>
                <w:szCs w:val="20"/>
              </w:rPr>
              <w:t>0.17</w:t>
            </w:r>
            <w:r>
              <w:rPr>
                <w:sz w:val="20"/>
                <w:szCs w:val="20"/>
              </w:rPr>
              <w:t>)</w:t>
            </w:r>
          </w:p>
        </w:tc>
        <w:tc>
          <w:tcPr>
            <w:tcW w:w="1279" w:type="dxa"/>
            <w:shd w:val="clear" w:color="auto" w:fill="auto"/>
            <w:noWrap/>
            <w:vAlign w:val="bottom"/>
            <w:hideMark/>
          </w:tcPr>
          <w:p w14:paraId="5C2B351D" w14:textId="77777777" w:rsidR="00A20361" w:rsidRPr="00F31BE4" w:rsidRDefault="00A20361" w:rsidP="0048210B">
            <w:pPr>
              <w:jc w:val="right"/>
              <w:rPr>
                <w:sz w:val="20"/>
                <w:szCs w:val="20"/>
              </w:rPr>
            </w:pPr>
            <w:r>
              <w:rPr>
                <w:sz w:val="20"/>
                <w:szCs w:val="20"/>
              </w:rPr>
              <w:t>(</w:t>
            </w:r>
            <w:r w:rsidRPr="00F31BE4">
              <w:rPr>
                <w:sz w:val="20"/>
                <w:szCs w:val="20"/>
              </w:rPr>
              <w:t>0.16</w:t>
            </w:r>
            <w:r>
              <w:rPr>
                <w:sz w:val="20"/>
                <w:szCs w:val="20"/>
              </w:rPr>
              <w:t>)</w:t>
            </w:r>
          </w:p>
        </w:tc>
        <w:tc>
          <w:tcPr>
            <w:tcW w:w="1279" w:type="dxa"/>
            <w:shd w:val="clear" w:color="auto" w:fill="auto"/>
            <w:noWrap/>
            <w:vAlign w:val="bottom"/>
            <w:hideMark/>
          </w:tcPr>
          <w:p w14:paraId="00A18177" w14:textId="77777777" w:rsidR="00A20361" w:rsidRPr="00F31BE4" w:rsidRDefault="00A20361" w:rsidP="0048210B">
            <w:pPr>
              <w:jc w:val="right"/>
              <w:rPr>
                <w:sz w:val="20"/>
                <w:szCs w:val="20"/>
              </w:rPr>
            </w:pPr>
            <w:r>
              <w:rPr>
                <w:sz w:val="20"/>
                <w:szCs w:val="20"/>
              </w:rPr>
              <w:t>(</w:t>
            </w:r>
            <w:r w:rsidRPr="00F31BE4">
              <w:rPr>
                <w:sz w:val="20"/>
                <w:szCs w:val="20"/>
              </w:rPr>
              <w:t>0.19</w:t>
            </w:r>
            <w:r>
              <w:rPr>
                <w:sz w:val="20"/>
                <w:szCs w:val="20"/>
              </w:rPr>
              <w:t>)</w:t>
            </w:r>
          </w:p>
        </w:tc>
        <w:tc>
          <w:tcPr>
            <w:tcW w:w="1279" w:type="dxa"/>
            <w:shd w:val="clear" w:color="auto" w:fill="auto"/>
            <w:noWrap/>
            <w:vAlign w:val="bottom"/>
            <w:hideMark/>
          </w:tcPr>
          <w:p w14:paraId="4EF0633C" w14:textId="77777777" w:rsidR="00A20361" w:rsidRPr="00F31BE4" w:rsidRDefault="00A20361" w:rsidP="0048210B">
            <w:pPr>
              <w:jc w:val="right"/>
              <w:rPr>
                <w:sz w:val="20"/>
                <w:szCs w:val="20"/>
              </w:rPr>
            </w:pPr>
            <w:r>
              <w:rPr>
                <w:sz w:val="20"/>
                <w:szCs w:val="20"/>
              </w:rPr>
              <w:t>(</w:t>
            </w:r>
            <w:r w:rsidRPr="00F31BE4">
              <w:rPr>
                <w:sz w:val="20"/>
                <w:szCs w:val="20"/>
              </w:rPr>
              <w:t>0.17</w:t>
            </w:r>
            <w:r>
              <w:rPr>
                <w:sz w:val="20"/>
                <w:szCs w:val="20"/>
              </w:rPr>
              <w:t>)</w:t>
            </w:r>
          </w:p>
        </w:tc>
        <w:tc>
          <w:tcPr>
            <w:tcW w:w="1279" w:type="dxa"/>
            <w:shd w:val="clear" w:color="auto" w:fill="auto"/>
            <w:noWrap/>
            <w:vAlign w:val="bottom"/>
            <w:hideMark/>
          </w:tcPr>
          <w:p w14:paraId="771BC6B1" w14:textId="77777777" w:rsidR="00A20361" w:rsidRPr="00F31BE4" w:rsidRDefault="00A20361" w:rsidP="0048210B">
            <w:pPr>
              <w:jc w:val="right"/>
              <w:rPr>
                <w:sz w:val="20"/>
                <w:szCs w:val="20"/>
              </w:rPr>
            </w:pPr>
            <w:r>
              <w:rPr>
                <w:sz w:val="20"/>
                <w:szCs w:val="20"/>
              </w:rPr>
              <w:t>(</w:t>
            </w:r>
            <w:r w:rsidRPr="00F31BE4">
              <w:rPr>
                <w:sz w:val="20"/>
                <w:szCs w:val="20"/>
              </w:rPr>
              <w:t>0.19</w:t>
            </w:r>
            <w:r>
              <w:rPr>
                <w:sz w:val="20"/>
                <w:szCs w:val="20"/>
              </w:rPr>
              <w:t>)</w:t>
            </w:r>
          </w:p>
        </w:tc>
      </w:tr>
      <w:tr w:rsidR="00A20361" w14:paraId="7C4DFBE3" w14:textId="77777777" w:rsidTr="0048210B">
        <w:trPr>
          <w:trHeight w:val="256"/>
          <w:jc w:val="center"/>
        </w:trPr>
        <w:tc>
          <w:tcPr>
            <w:tcW w:w="2178" w:type="dxa"/>
            <w:shd w:val="clear" w:color="auto" w:fill="auto"/>
            <w:noWrap/>
            <w:vAlign w:val="bottom"/>
            <w:hideMark/>
          </w:tcPr>
          <w:p w14:paraId="156515BC" w14:textId="77777777" w:rsidR="00A20361" w:rsidRPr="00F31BE4" w:rsidRDefault="00A20361" w:rsidP="0048210B">
            <w:pPr>
              <w:rPr>
                <w:sz w:val="20"/>
                <w:szCs w:val="20"/>
              </w:rPr>
            </w:pPr>
            <w:r w:rsidRPr="00F31BE4">
              <w:rPr>
                <w:sz w:val="20"/>
                <w:szCs w:val="20"/>
              </w:rPr>
              <w:t>Share of Asian</w:t>
            </w:r>
          </w:p>
        </w:tc>
        <w:tc>
          <w:tcPr>
            <w:tcW w:w="1279" w:type="dxa"/>
            <w:shd w:val="clear" w:color="auto" w:fill="auto"/>
            <w:noWrap/>
            <w:vAlign w:val="bottom"/>
            <w:hideMark/>
          </w:tcPr>
          <w:p w14:paraId="61FF9081" w14:textId="77777777" w:rsidR="00A20361" w:rsidRPr="00F31BE4" w:rsidRDefault="00A20361" w:rsidP="0048210B">
            <w:pPr>
              <w:jc w:val="right"/>
              <w:rPr>
                <w:sz w:val="20"/>
                <w:szCs w:val="20"/>
              </w:rPr>
            </w:pPr>
            <w:r w:rsidRPr="00F31BE4">
              <w:rPr>
                <w:sz w:val="20"/>
                <w:szCs w:val="20"/>
              </w:rPr>
              <w:t>0.03</w:t>
            </w:r>
          </w:p>
        </w:tc>
        <w:tc>
          <w:tcPr>
            <w:tcW w:w="1279" w:type="dxa"/>
            <w:shd w:val="clear" w:color="auto" w:fill="auto"/>
            <w:noWrap/>
            <w:vAlign w:val="bottom"/>
            <w:hideMark/>
          </w:tcPr>
          <w:p w14:paraId="2457A272" w14:textId="77777777" w:rsidR="00A20361" w:rsidRPr="00F31BE4" w:rsidRDefault="00A20361" w:rsidP="0048210B">
            <w:pPr>
              <w:jc w:val="right"/>
              <w:rPr>
                <w:sz w:val="20"/>
                <w:szCs w:val="20"/>
              </w:rPr>
            </w:pPr>
            <w:r w:rsidRPr="00F31BE4">
              <w:rPr>
                <w:sz w:val="20"/>
                <w:szCs w:val="20"/>
              </w:rPr>
              <w:t>0.03</w:t>
            </w:r>
          </w:p>
        </w:tc>
        <w:tc>
          <w:tcPr>
            <w:tcW w:w="1279" w:type="dxa"/>
            <w:shd w:val="clear" w:color="auto" w:fill="auto"/>
            <w:noWrap/>
            <w:vAlign w:val="bottom"/>
            <w:hideMark/>
          </w:tcPr>
          <w:p w14:paraId="50FFB360" w14:textId="77777777" w:rsidR="00A20361" w:rsidRPr="00F31BE4" w:rsidRDefault="00A20361" w:rsidP="0048210B">
            <w:pPr>
              <w:jc w:val="right"/>
              <w:rPr>
                <w:sz w:val="20"/>
                <w:szCs w:val="20"/>
              </w:rPr>
            </w:pPr>
            <w:r w:rsidRPr="00F31BE4">
              <w:rPr>
                <w:sz w:val="20"/>
                <w:szCs w:val="20"/>
              </w:rPr>
              <w:t>0.03</w:t>
            </w:r>
          </w:p>
        </w:tc>
        <w:tc>
          <w:tcPr>
            <w:tcW w:w="1279" w:type="dxa"/>
            <w:shd w:val="clear" w:color="auto" w:fill="auto"/>
            <w:noWrap/>
            <w:vAlign w:val="bottom"/>
            <w:hideMark/>
          </w:tcPr>
          <w:p w14:paraId="7C913A0B" w14:textId="77777777" w:rsidR="00A20361" w:rsidRPr="00F31BE4" w:rsidRDefault="00A20361" w:rsidP="0048210B">
            <w:pPr>
              <w:jc w:val="right"/>
              <w:rPr>
                <w:sz w:val="20"/>
                <w:szCs w:val="20"/>
              </w:rPr>
            </w:pPr>
            <w:r w:rsidRPr="00F31BE4">
              <w:rPr>
                <w:sz w:val="20"/>
                <w:szCs w:val="20"/>
              </w:rPr>
              <w:t>0.04</w:t>
            </w:r>
          </w:p>
        </w:tc>
        <w:tc>
          <w:tcPr>
            <w:tcW w:w="1279" w:type="dxa"/>
            <w:shd w:val="clear" w:color="auto" w:fill="auto"/>
            <w:noWrap/>
            <w:vAlign w:val="bottom"/>
            <w:hideMark/>
          </w:tcPr>
          <w:p w14:paraId="6A6CC5D5" w14:textId="77777777" w:rsidR="00A20361" w:rsidRPr="00F31BE4" w:rsidRDefault="00A20361" w:rsidP="0048210B">
            <w:pPr>
              <w:jc w:val="right"/>
              <w:rPr>
                <w:sz w:val="20"/>
                <w:szCs w:val="20"/>
              </w:rPr>
            </w:pPr>
            <w:r w:rsidRPr="00F31BE4">
              <w:rPr>
                <w:sz w:val="20"/>
                <w:szCs w:val="20"/>
              </w:rPr>
              <w:t>0.04</w:t>
            </w:r>
          </w:p>
        </w:tc>
        <w:tc>
          <w:tcPr>
            <w:tcW w:w="1279" w:type="dxa"/>
            <w:shd w:val="clear" w:color="auto" w:fill="auto"/>
            <w:noWrap/>
            <w:vAlign w:val="bottom"/>
            <w:hideMark/>
          </w:tcPr>
          <w:p w14:paraId="69EE76BC" w14:textId="77777777" w:rsidR="00A20361" w:rsidRPr="00F31BE4" w:rsidRDefault="00A20361" w:rsidP="0048210B">
            <w:pPr>
              <w:jc w:val="right"/>
              <w:rPr>
                <w:sz w:val="20"/>
                <w:szCs w:val="20"/>
              </w:rPr>
            </w:pPr>
            <w:r w:rsidRPr="00F31BE4">
              <w:rPr>
                <w:sz w:val="20"/>
                <w:szCs w:val="20"/>
              </w:rPr>
              <w:t>0.05</w:t>
            </w:r>
          </w:p>
        </w:tc>
      </w:tr>
      <w:tr w:rsidR="00A20361" w14:paraId="06CD14A8" w14:textId="77777777" w:rsidTr="0048210B">
        <w:trPr>
          <w:trHeight w:val="256"/>
          <w:jc w:val="center"/>
        </w:trPr>
        <w:tc>
          <w:tcPr>
            <w:tcW w:w="2178" w:type="dxa"/>
            <w:shd w:val="clear" w:color="auto" w:fill="auto"/>
            <w:noWrap/>
            <w:vAlign w:val="bottom"/>
            <w:hideMark/>
          </w:tcPr>
          <w:p w14:paraId="56C51B64" w14:textId="77777777" w:rsidR="00A20361" w:rsidRPr="00F31BE4" w:rsidRDefault="00A20361" w:rsidP="0048210B">
            <w:pPr>
              <w:jc w:val="right"/>
              <w:rPr>
                <w:sz w:val="20"/>
                <w:szCs w:val="20"/>
              </w:rPr>
            </w:pPr>
          </w:p>
        </w:tc>
        <w:tc>
          <w:tcPr>
            <w:tcW w:w="1279" w:type="dxa"/>
            <w:shd w:val="clear" w:color="auto" w:fill="auto"/>
            <w:noWrap/>
            <w:vAlign w:val="bottom"/>
            <w:hideMark/>
          </w:tcPr>
          <w:p w14:paraId="62B8A2C5" w14:textId="77777777" w:rsidR="00A20361" w:rsidRPr="00F31BE4" w:rsidRDefault="00A20361" w:rsidP="0048210B">
            <w:pPr>
              <w:jc w:val="right"/>
              <w:rPr>
                <w:sz w:val="20"/>
                <w:szCs w:val="20"/>
              </w:rPr>
            </w:pPr>
            <w:r>
              <w:rPr>
                <w:sz w:val="20"/>
                <w:szCs w:val="20"/>
              </w:rPr>
              <w:t>(</w:t>
            </w:r>
            <w:r w:rsidRPr="00F31BE4">
              <w:rPr>
                <w:sz w:val="20"/>
                <w:szCs w:val="20"/>
              </w:rPr>
              <w:t>0.03</w:t>
            </w:r>
            <w:r>
              <w:rPr>
                <w:sz w:val="20"/>
                <w:szCs w:val="20"/>
              </w:rPr>
              <w:t>)</w:t>
            </w:r>
          </w:p>
        </w:tc>
        <w:tc>
          <w:tcPr>
            <w:tcW w:w="1279" w:type="dxa"/>
            <w:shd w:val="clear" w:color="auto" w:fill="auto"/>
            <w:noWrap/>
            <w:vAlign w:val="bottom"/>
            <w:hideMark/>
          </w:tcPr>
          <w:p w14:paraId="6049386E" w14:textId="77777777" w:rsidR="00A20361" w:rsidRPr="00F31BE4" w:rsidRDefault="00A20361" w:rsidP="0048210B">
            <w:pPr>
              <w:jc w:val="right"/>
              <w:rPr>
                <w:sz w:val="20"/>
                <w:szCs w:val="20"/>
              </w:rPr>
            </w:pPr>
            <w:r>
              <w:rPr>
                <w:sz w:val="20"/>
                <w:szCs w:val="20"/>
              </w:rPr>
              <w:t>(</w:t>
            </w:r>
            <w:r w:rsidRPr="00F31BE4">
              <w:rPr>
                <w:sz w:val="20"/>
                <w:szCs w:val="20"/>
              </w:rPr>
              <w:t>0.03</w:t>
            </w:r>
            <w:r>
              <w:rPr>
                <w:sz w:val="20"/>
                <w:szCs w:val="20"/>
              </w:rPr>
              <w:t>)</w:t>
            </w:r>
          </w:p>
        </w:tc>
        <w:tc>
          <w:tcPr>
            <w:tcW w:w="1279" w:type="dxa"/>
            <w:shd w:val="clear" w:color="auto" w:fill="auto"/>
            <w:noWrap/>
            <w:vAlign w:val="bottom"/>
            <w:hideMark/>
          </w:tcPr>
          <w:p w14:paraId="7406BE22" w14:textId="77777777" w:rsidR="00A20361" w:rsidRPr="00F31BE4" w:rsidRDefault="00A20361" w:rsidP="0048210B">
            <w:pPr>
              <w:jc w:val="right"/>
              <w:rPr>
                <w:sz w:val="20"/>
                <w:szCs w:val="20"/>
              </w:rPr>
            </w:pPr>
            <w:r>
              <w:rPr>
                <w:sz w:val="20"/>
                <w:szCs w:val="20"/>
              </w:rPr>
              <w:t>(</w:t>
            </w:r>
            <w:r w:rsidRPr="00F31BE4">
              <w:rPr>
                <w:sz w:val="20"/>
                <w:szCs w:val="20"/>
              </w:rPr>
              <w:t>0.03</w:t>
            </w:r>
            <w:r>
              <w:rPr>
                <w:sz w:val="20"/>
                <w:szCs w:val="20"/>
              </w:rPr>
              <w:t>)</w:t>
            </w:r>
          </w:p>
        </w:tc>
        <w:tc>
          <w:tcPr>
            <w:tcW w:w="1279" w:type="dxa"/>
            <w:shd w:val="clear" w:color="auto" w:fill="auto"/>
            <w:noWrap/>
            <w:vAlign w:val="bottom"/>
            <w:hideMark/>
          </w:tcPr>
          <w:p w14:paraId="41B906F4"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c>
          <w:tcPr>
            <w:tcW w:w="1279" w:type="dxa"/>
            <w:shd w:val="clear" w:color="auto" w:fill="auto"/>
            <w:noWrap/>
            <w:vAlign w:val="bottom"/>
            <w:hideMark/>
          </w:tcPr>
          <w:p w14:paraId="724C87FE" w14:textId="77777777" w:rsidR="00A20361" w:rsidRPr="00F31BE4" w:rsidRDefault="00A20361" w:rsidP="0048210B">
            <w:pPr>
              <w:jc w:val="right"/>
              <w:rPr>
                <w:sz w:val="20"/>
                <w:szCs w:val="20"/>
              </w:rPr>
            </w:pPr>
            <w:r>
              <w:rPr>
                <w:sz w:val="20"/>
                <w:szCs w:val="20"/>
              </w:rPr>
              <w:t>(</w:t>
            </w:r>
            <w:r w:rsidRPr="00F31BE4">
              <w:rPr>
                <w:sz w:val="20"/>
                <w:szCs w:val="20"/>
              </w:rPr>
              <w:t>0.03</w:t>
            </w:r>
            <w:r>
              <w:rPr>
                <w:sz w:val="20"/>
                <w:szCs w:val="20"/>
              </w:rPr>
              <w:t>)</w:t>
            </w:r>
          </w:p>
        </w:tc>
        <w:tc>
          <w:tcPr>
            <w:tcW w:w="1279" w:type="dxa"/>
            <w:shd w:val="clear" w:color="auto" w:fill="auto"/>
            <w:noWrap/>
            <w:vAlign w:val="bottom"/>
            <w:hideMark/>
          </w:tcPr>
          <w:p w14:paraId="7D0A14CE" w14:textId="77777777" w:rsidR="00A20361" w:rsidRPr="00F31BE4" w:rsidRDefault="00A20361" w:rsidP="0048210B">
            <w:pPr>
              <w:jc w:val="right"/>
              <w:rPr>
                <w:sz w:val="20"/>
                <w:szCs w:val="20"/>
              </w:rPr>
            </w:pPr>
            <w:r>
              <w:rPr>
                <w:sz w:val="20"/>
                <w:szCs w:val="20"/>
              </w:rPr>
              <w:t>(</w:t>
            </w:r>
            <w:r w:rsidRPr="00F31BE4">
              <w:rPr>
                <w:sz w:val="20"/>
                <w:szCs w:val="20"/>
              </w:rPr>
              <w:t>0.05</w:t>
            </w:r>
            <w:r>
              <w:rPr>
                <w:sz w:val="20"/>
                <w:szCs w:val="20"/>
              </w:rPr>
              <w:t>)</w:t>
            </w:r>
          </w:p>
        </w:tc>
      </w:tr>
      <w:tr w:rsidR="00A20361" w14:paraId="347B9174" w14:textId="77777777" w:rsidTr="0048210B">
        <w:trPr>
          <w:trHeight w:val="256"/>
          <w:jc w:val="center"/>
        </w:trPr>
        <w:tc>
          <w:tcPr>
            <w:tcW w:w="2178" w:type="dxa"/>
            <w:shd w:val="clear" w:color="auto" w:fill="auto"/>
            <w:noWrap/>
            <w:vAlign w:val="bottom"/>
            <w:hideMark/>
          </w:tcPr>
          <w:p w14:paraId="049E2137" w14:textId="77777777" w:rsidR="00A20361" w:rsidRPr="00F31BE4" w:rsidRDefault="00A20361" w:rsidP="0048210B">
            <w:pPr>
              <w:rPr>
                <w:sz w:val="20"/>
                <w:szCs w:val="20"/>
              </w:rPr>
            </w:pPr>
            <w:r w:rsidRPr="00F31BE4">
              <w:rPr>
                <w:sz w:val="20"/>
                <w:szCs w:val="20"/>
              </w:rPr>
              <w:t>Median family income</w:t>
            </w:r>
          </w:p>
        </w:tc>
        <w:tc>
          <w:tcPr>
            <w:tcW w:w="1279" w:type="dxa"/>
            <w:shd w:val="clear" w:color="auto" w:fill="auto"/>
            <w:noWrap/>
            <w:vAlign w:val="bottom"/>
            <w:hideMark/>
          </w:tcPr>
          <w:p w14:paraId="416CE697" w14:textId="77777777" w:rsidR="00A20361" w:rsidRPr="00F31BE4" w:rsidRDefault="00A20361" w:rsidP="0048210B">
            <w:pPr>
              <w:jc w:val="right"/>
              <w:rPr>
                <w:sz w:val="20"/>
                <w:szCs w:val="20"/>
              </w:rPr>
            </w:pPr>
            <w:r w:rsidRPr="00F31BE4">
              <w:rPr>
                <w:sz w:val="20"/>
                <w:szCs w:val="20"/>
              </w:rPr>
              <w:t>32562.16</w:t>
            </w:r>
          </w:p>
        </w:tc>
        <w:tc>
          <w:tcPr>
            <w:tcW w:w="1279" w:type="dxa"/>
            <w:shd w:val="clear" w:color="auto" w:fill="auto"/>
            <w:noWrap/>
            <w:vAlign w:val="bottom"/>
            <w:hideMark/>
          </w:tcPr>
          <w:p w14:paraId="09D6FDC2" w14:textId="77777777" w:rsidR="00A20361" w:rsidRPr="00F31BE4" w:rsidRDefault="00A20361" w:rsidP="0048210B">
            <w:pPr>
              <w:jc w:val="right"/>
              <w:rPr>
                <w:sz w:val="20"/>
                <w:szCs w:val="20"/>
              </w:rPr>
            </w:pPr>
            <w:r w:rsidRPr="00F31BE4">
              <w:rPr>
                <w:sz w:val="20"/>
                <w:szCs w:val="20"/>
              </w:rPr>
              <w:t>33906.09</w:t>
            </w:r>
          </w:p>
        </w:tc>
        <w:tc>
          <w:tcPr>
            <w:tcW w:w="1279" w:type="dxa"/>
            <w:shd w:val="clear" w:color="auto" w:fill="auto"/>
            <w:noWrap/>
            <w:vAlign w:val="bottom"/>
            <w:hideMark/>
          </w:tcPr>
          <w:p w14:paraId="17D1B938" w14:textId="77777777" w:rsidR="00A20361" w:rsidRPr="00F31BE4" w:rsidRDefault="00A20361" w:rsidP="0048210B">
            <w:pPr>
              <w:jc w:val="right"/>
              <w:rPr>
                <w:sz w:val="20"/>
                <w:szCs w:val="20"/>
              </w:rPr>
            </w:pPr>
            <w:r w:rsidRPr="00F31BE4">
              <w:rPr>
                <w:sz w:val="20"/>
                <w:szCs w:val="20"/>
              </w:rPr>
              <w:t>44755.19</w:t>
            </w:r>
          </w:p>
        </w:tc>
        <w:tc>
          <w:tcPr>
            <w:tcW w:w="1279" w:type="dxa"/>
            <w:shd w:val="clear" w:color="auto" w:fill="auto"/>
            <w:noWrap/>
            <w:vAlign w:val="bottom"/>
            <w:hideMark/>
          </w:tcPr>
          <w:p w14:paraId="63BB6698" w14:textId="77777777" w:rsidR="00A20361" w:rsidRPr="00F31BE4" w:rsidRDefault="00A20361" w:rsidP="0048210B">
            <w:pPr>
              <w:jc w:val="right"/>
              <w:rPr>
                <w:sz w:val="20"/>
                <w:szCs w:val="20"/>
              </w:rPr>
            </w:pPr>
            <w:r w:rsidRPr="00F31BE4">
              <w:rPr>
                <w:sz w:val="20"/>
                <w:szCs w:val="20"/>
              </w:rPr>
              <w:t>47116.66</w:t>
            </w:r>
          </w:p>
        </w:tc>
        <w:tc>
          <w:tcPr>
            <w:tcW w:w="1279" w:type="dxa"/>
            <w:shd w:val="clear" w:color="auto" w:fill="auto"/>
            <w:noWrap/>
            <w:vAlign w:val="bottom"/>
            <w:hideMark/>
          </w:tcPr>
          <w:p w14:paraId="275BB97A" w14:textId="77777777" w:rsidR="00A20361" w:rsidRPr="00F31BE4" w:rsidRDefault="00A20361" w:rsidP="0048210B">
            <w:pPr>
              <w:jc w:val="right"/>
              <w:rPr>
                <w:sz w:val="20"/>
                <w:szCs w:val="20"/>
              </w:rPr>
            </w:pPr>
            <w:r w:rsidRPr="00F31BE4">
              <w:rPr>
                <w:sz w:val="20"/>
                <w:szCs w:val="20"/>
              </w:rPr>
              <w:t>54298.46</w:t>
            </w:r>
          </w:p>
        </w:tc>
        <w:tc>
          <w:tcPr>
            <w:tcW w:w="1279" w:type="dxa"/>
            <w:shd w:val="clear" w:color="auto" w:fill="auto"/>
            <w:noWrap/>
            <w:vAlign w:val="bottom"/>
            <w:hideMark/>
          </w:tcPr>
          <w:p w14:paraId="04E73226" w14:textId="77777777" w:rsidR="00A20361" w:rsidRPr="00F31BE4" w:rsidRDefault="00A20361" w:rsidP="0048210B">
            <w:pPr>
              <w:jc w:val="right"/>
              <w:rPr>
                <w:sz w:val="20"/>
                <w:szCs w:val="20"/>
              </w:rPr>
            </w:pPr>
            <w:r w:rsidRPr="00F31BE4">
              <w:rPr>
                <w:sz w:val="20"/>
                <w:szCs w:val="20"/>
              </w:rPr>
              <w:t>55639.11</w:t>
            </w:r>
          </w:p>
        </w:tc>
      </w:tr>
      <w:tr w:rsidR="00A20361" w14:paraId="7B32A8EA" w14:textId="77777777" w:rsidTr="0048210B">
        <w:trPr>
          <w:trHeight w:val="256"/>
          <w:jc w:val="center"/>
        </w:trPr>
        <w:tc>
          <w:tcPr>
            <w:tcW w:w="2178" w:type="dxa"/>
            <w:shd w:val="clear" w:color="auto" w:fill="auto"/>
            <w:noWrap/>
            <w:vAlign w:val="bottom"/>
            <w:hideMark/>
          </w:tcPr>
          <w:p w14:paraId="0387EB15" w14:textId="77777777" w:rsidR="00A20361" w:rsidRPr="00F31BE4" w:rsidRDefault="00A20361" w:rsidP="0048210B">
            <w:pPr>
              <w:jc w:val="right"/>
              <w:rPr>
                <w:sz w:val="20"/>
                <w:szCs w:val="20"/>
              </w:rPr>
            </w:pPr>
          </w:p>
        </w:tc>
        <w:tc>
          <w:tcPr>
            <w:tcW w:w="1279" w:type="dxa"/>
            <w:shd w:val="clear" w:color="auto" w:fill="auto"/>
            <w:noWrap/>
            <w:vAlign w:val="bottom"/>
            <w:hideMark/>
          </w:tcPr>
          <w:p w14:paraId="1052333D" w14:textId="77777777" w:rsidR="00A20361" w:rsidRPr="00F31BE4" w:rsidRDefault="00A20361" w:rsidP="0048210B">
            <w:pPr>
              <w:jc w:val="right"/>
              <w:rPr>
                <w:sz w:val="20"/>
                <w:szCs w:val="20"/>
              </w:rPr>
            </w:pPr>
            <w:r>
              <w:rPr>
                <w:sz w:val="20"/>
                <w:szCs w:val="20"/>
              </w:rPr>
              <w:t>(</w:t>
            </w:r>
            <w:r w:rsidRPr="00F31BE4">
              <w:rPr>
                <w:sz w:val="20"/>
                <w:szCs w:val="20"/>
              </w:rPr>
              <w:t>6263.81</w:t>
            </w:r>
            <w:r>
              <w:rPr>
                <w:sz w:val="20"/>
                <w:szCs w:val="20"/>
              </w:rPr>
              <w:t>)</w:t>
            </w:r>
          </w:p>
        </w:tc>
        <w:tc>
          <w:tcPr>
            <w:tcW w:w="1279" w:type="dxa"/>
            <w:shd w:val="clear" w:color="auto" w:fill="auto"/>
            <w:noWrap/>
            <w:vAlign w:val="bottom"/>
            <w:hideMark/>
          </w:tcPr>
          <w:p w14:paraId="3C845DE3" w14:textId="77777777" w:rsidR="00A20361" w:rsidRPr="00F31BE4" w:rsidRDefault="00A20361" w:rsidP="0048210B">
            <w:pPr>
              <w:jc w:val="right"/>
              <w:rPr>
                <w:sz w:val="20"/>
                <w:szCs w:val="20"/>
              </w:rPr>
            </w:pPr>
            <w:r>
              <w:rPr>
                <w:sz w:val="20"/>
                <w:szCs w:val="20"/>
              </w:rPr>
              <w:t>(</w:t>
            </w:r>
            <w:r w:rsidRPr="00F31BE4">
              <w:rPr>
                <w:sz w:val="20"/>
                <w:szCs w:val="20"/>
              </w:rPr>
              <w:t>6523.22</w:t>
            </w:r>
            <w:r>
              <w:rPr>
                <w:sz w:val="20"/>
                <w:szCs w:val="20"/>
              </w:rPr>
              <w:t>)</w:t>
            </w:r>
          </w:p>
        </w:tc>
        <w:tc>
          <w:tcPr>
            <w:tcW w:w="1279" w:type="dxa"/>
            <w:shd w:val="clear" w:color="auto" w:fill="auto"/>
            <w:noWrap/>
            <w:vAlign w:val="bottom"/>
            <w:hideMark/>
          </w:tcPr>
          <w:p w14:paraId="3D12A62E" w14:textId="77777777" w:rsidR="00A20361" w:rsidRPr="00F31BE4" w:rsidRDefault="00A20361" w:rsidP="0048210B">
            <w:pPr>
              <w:jc w:val="right"/>
              <w:rPr>
                <w:sz w:val="20"/>
                <w:szCs w:val="20"/>
              </w:rPr>
            </w:pPr>
            <w:r>
              <w:rPr>
                <w:sz w:val="20"/>
                <w:szCs w:val="20"/>
              </w:rPr>
              <w:t>(</w:t>
            </w:r>
            <w:r w:rsidRPr="00F31BE4">
              <w:rPr>
                <w:sz w:val="20"/>
                <w:szCs w:val="20"/>
              </w:rPr>
              <w:t>7773.25</w:t>
            </w:r>
            <w:r>
              <w:rPr>
                <w:sz w:val="20"/>
                <w:szCs w:val="20"/>
              </w:rPr>
              <w:t>)</w:t>
            </w:r>
          </w:p>
        </w:tc>
        <w:tc>
          <w:tcPr>
            <w:tcW w:w="1279" w:type="dxa"/>
            <w:shd w:val="clear" w:color="auto" w:fill="auto"/>
            <w:noWrap/>
            <w:vAlign w:val="bottom"/>
            <w:hideMark/>
          </w:tcPr>
          <w:p w14:paraId="0F7E0EF3" w14:textId="77777777" w:rsidR="00A20361" w:rsidRPr="00F31BE4" w:rsidRDefault="00A20361" w:rsidP="0048210B">
            <w:pPr>
              <w:jc w:val="right"/>
              <w:rPr>
                <w:sz w:val="20"/>
                <w:szCs w:val="20"/>
              </w:rPr>
            </w:pPr>
            <w:r>
              <w:rPr>
                <w:sz w:val="20"/>
                <w:szCs w:val="20"/>
              </w:rPr>
              <w:t>(</w:t>
            </w:r>
            <w:r w:rsidRPr="00F31BE4">
              <w:rPr>
                <w:sz w:val="20"/>
                <w:szCs w:val="20"/>
              </w:rPr>
              <w:t>8335.05</w:t>
            </w:r>
            <w:r>
              <w:rPr>
                <w:sz w:val="20"/>
                <w:szCs w:val="20"/>
              </w:rPr>
              <w:t>)</w:t>
            </w:r>
          </w:p>
        </w:tc>
        <w:tc>
          <w:tcPr>
            <w:tcW w:w="1279" w:type="dxa"/>
            <w:shd w:val="clear" w:color="auto" w:fill="auto"/>
            <w:noWrap/>
            <w:vAlign w:val="bottom"/>
            <w:hideMark/>
          </w:tcPr>
          <w:p w14:paraId="72104AC1" w14:textId="77777777" w:rsidR="00A20361" w:rsidRPr="00F31BE4" w:rsidRDefault="00A20361" w:rsidP="0048210B">
            <w:pPr>
              <w:jc w:val="right"/>
              <w:rPr>
                <w:sz w:val="20"/>
                <w:szCs w:val="20"/>
              </w:rPr>
            </w:pPr>
            <w:r>
              <w:rPr>
                <w:sz w:val="20"/>
                <w:szCs w:val="20"/>
              </w:rPr>
              <w:t>(</w:t>
            </w:r>
            <w:r w:rsidRPr="00F31BE4">
              <w:rPr>
                <w:sz w:val="20"/>
                <w:szCs w:val="20"/>
              </w:rPr>
              <w:t>10797.64</w:t>
            </w:r>
            <w:r>
              <w:rPr>
                <w:sz w:val="20"/>
                <w:szCs w:val="20"/>
              </w:rPr>
              <w:t>)</w:t>
            </w:r>
          </w:p>
        </w:tc>
        <w:tc>
          <w:tcPr>
            <w:tcW w:w="1279" w:type="dxa"/>
            <w:shd w:val="clear" w:color="auto" w:fill="auto"/>
            <w:noWrap/>
            <w:vAlign w:val="bottom"/>
            <w:hideMark/>
          </w:tcPr>
          <w:p w14:paraId="7610BD14" w14:textId="77777777" w:rsidR="00A20361" w:rsidRPr="00F31BE4" w:rsidRDefault="00A20361" w:rsidP="0048210B">
            <w:pPr>
              <w:jc w:val="right"/>
              <w:rPr>
                <w:sz w:val="20"/>
                <w:szCs w:val="20"/>
              </w:rPr>
            </w:pPr>
            <w:r>
              <w:rPr>
                <w:sz w:val="20"/>
                <w:szCs w:val="20"/>
              </w:rPr>
              <w:t>(</w:t>
            </w:r>
            <w:r w:rsidRPr="00F31BE4">
              <w:rPr>
                <w:sz w:val="20"/>
                <w:szCs w:val="20"/>
              </w:rPr>
              <w:t>10020.45</w:t>
            </w:r>
            <w:r>
              <w:rPr>
                <w:sz w:val="20"/>
                <w:szCs w:val="20"/>
              </w:rPr>
              <w:t>)</w:t>
            </w:r>
          </w:p>
        </w:tc>
      </w:tr>
      <w:tr w:rsidR="00A20361" w14:paraId="1915C7C3" w14:textId="77777777" w:rsidTr="0048210B">
        <w:trPr>
          <w:trHeight w:val="256"/>
          <w:jc w:val="center"/>
        </w:trPr>
        <w:tc>
          <w:tcPr>
            <w:tcW w:w="2178" w:type="dxa"/>
            <w:shd w:val="clear" w:color="auto" w:fill="auto"/>
            <w:noWrap/>
            <w:vAlign w:val="bottom"/>
            <w:hideMark/>
          </w:tcPr>
          <w:p w14:paraId="61871490" w14:textId="77777777" w:rsidR="00A20361" w:rsidRPr="00F31BE4" w:rsidRDefault="00A20361" w:rsidP="0048210B">
            <w:pPr>
              <w:rPr>
                <w:sz w:val="20"/>
                <w:szCs w:val="20"/>
              </w:rPr>
            </w:pPr>
            <w:r w:rsidRPr="00F31BE4">
              <w:rPr>
                <w:sz w:val="20"/>
                <w:szCs w:val="20"/>
              </w:rPr>
              <w:t>Share of people with college experience</w:t>
            </w:r>
          </w:p>
        </w:tc>
        <w:tc>
          <w:tcPr>
            <w:tcW w:w="1279" w:type="dxa"/>
            <w:shd w:val="clear" w:color="auto" w:fill="auto"/>
            <w:noWrap/>
            <w:vAlign w:val="bottom"/>
            <w:hideMark/>
          </w:tcPr>
          <w:p w14:paraId="162CC663" w14:textId="77777777" w:rsidR="00A20361" w:rsidRPr="00F31BE4" w:rsidRDefault="00A20361" w:rsidP="0048210B">
            <w:pPr>
              <w:jc w:val="right"/>
              <w:rPr>
                <w:sz w:val="20"/>
                <w:szCs w:val="20"/>
              </w:rPr>
            </w:pPr>
            <w:r w:rsidRPr="00F31BE4">
              <w:rPr>
                <w:sz w:val="20"/>
                <w:szCs w:val="20"/>
              </w:rPr>
              <w:t>0.38</w:t>
            </w:r>
          </w:p>
        </w:tc>
        <w:tc>
          <w:tcPr>
            <w:tcW w:w="1279" w:type="dxa"/>
            <w:shd w:val="clear" w:color="auto" w:fill="auto"/>
            <w:noWrap/>
            <w:vAlign w:val="bottom"/>
            <w:hideMark/>
          </w:tcPr>
          <w:p w14:paraId="4EC370EC" w14:textId="77777777" w:rsidR="00A20361" w:rsidRPr="00F31BE4" w:rsidRDefault="00A20361" w:rsidP="0048210B">
            <w:pPr>
              <w:jc w:val="right"/>
              <w:rPr>
                <w:sz w:val="20"/>
                <w:szCs w:val="20"/>
              </w:rPr>
            </w:pPr>
            <w:r w:rsidRPr="00F31BE4">
              <w:rPr>
                <w:sz w:val="20"/>
                <w:szCs w:val="20"/>
              </w:rPr>
              <w:t>0.36</w:t>
            </w:r>
          </w:p>
        </w:tc>
        <w:tc>
          <w:tcPr>
            <w:tcW w:w="1279" w:type="dxa"/>
            <w:shd w:val="clear" w:color="auto" w:fill="auto"/>
            <w:noWrap/>
            <w:vAlign w:val="bottom"/>
            <w:hideMark/>
          </w:tcPr>
          <w:p w14:paraId="3ACFE6FA" w14:textId="77777777" w:rsidR="00A20361" w:rsidRPr="00F31BE4" w:rsidRDefault="00A20361" w:rsidP="0048210B">
            <w:pPr>
              <w:jc w:val="right"/>
              <w:rPr>
                <w:sz w:val="20"/>
                <w:szCs w:val="20"/>
              </w:rPr>
            </w:pPr>
            <w:r w:rsidRPr="00F31BE4">
              <w:rPr>
                <w:sz w:val="20"/>
                <w:szCs w:val="20"/>
              </w:rPr>
              <w:t>0.36</w:t>
            </w:r>
          </w:p>
        </w:tc>
        <w:tc>
          <w:tcPr>
            <w:tcW w:w="1279" w:type="dxa"/>
            <w:shd w:val="clear" w:color="auto" w:fill="auto"/>
            <w:noWrap/>
            <w:vAlign w:val="bottom"/>
            <w:hideMark/>
          </w:tcPr>
          <w:p w14:paraId="54DCC51C" w14:textId="77777777" w:rsidR="00A20361" w:rsidRPr="00F31BE4" w:rsidRDefault="00A20361" w:rsidP="0048210B">
            <w:pPr>
              <w:jc w:val="right"/>
              <w:rPr>
                <w:sz w:val="20"/>
                <w:szCs w:val="20"/>
              </w:rPr>
            </w:pPr>
            <w:r w:rsidRPr="00F31BE4">
              <w:rPr>
                <w:sz w:val="20"/>
                <w:szCs w:val="20"/>
              </w:rPr>
              <w:t>0.35</w:t>
            </w:r>
          </w:p>
        </w:tc>
        <w:tc>
          <w:tcPr>
            <w:tcW w:w="1279" w:type="dxa"/>
            <w:shd w:val="clear" w:color="auto" w:fill="auto"/>
            <w:noWrap/>
            <w:vAlign w:val="bottom"/>
            <w:hideMark/>
          </w:tcPr>
          <w:p w14:paraId="3482972B" w14:textId="77777777" w:rsidR="00A20361" w:rsidRPr="00F31BE4" w:rsidRDefault="00A20361" w:rsidP="0048210B">
            <w:pPr>
              <w:jc w:val="right"/>
              <w:rPr>
                <w:sz w:val="20"/>
                <w:szCs w:val="20"/>
              </w:rPr>
            </w:pPr>
            <w:r w:rsidRPr="00F31BE4">
              <w:rPr>
                <w:sz w:val="20"/>
                <w:szCs w:val="20"/>
              </w:rPr>
              <w:t>0.39</w:t>
            </w:r>
          </w:p>
        </w:tc>
        <w:tc>
          <w:tcPr>
            <w:tcW w:w="1279" w:type="dxa"/>
            <w:shd w:val="clear" w:color="auto" w:fill="auto"/>
            <w:noWrap/>
            <w:vAlign w:val="bottom"/>
            <w:hideMark/>
          </w:tcPr>
          <w:p w14:paraId="10EE17DA" w14:textId="77777777" w:rsidR="00A20361" w:rsidRPr="00F31BE4" w:rsidRDefault="00A20361" w:rsidP="0048210B">
            <w:pPr>
              <w:jc w:val="right"/>
              <w:rPr>
                <w:sz w:val="20"/>
                <w:szCs w:val="20"/>
              </w:rPr>
            </w:pPr>
            <w:r w:rsidRPr="00F31BE4">
              <w:rPr>
                <w:sz w:val="20"/>
                <w:szCs w:val="20"/>
              </w:rPr>
              <w:t>0.38</w:t>
            </w:r>
          </w:p>
        </w:tc>
      </w:tr>
      <w:tr w:rsidR="00A20361" w14:paraId="1D699CDE" w14:textId="77777777" w:rsidTr="007919B5">
        <w:trPr>
          <w:trHeight w:val="87"/>
          <w:jc w:val="center"/>
        </w:trPr>
        <w:tc>
          <w:tcPr>
            <w:tcW w:w="2178" w:type="dxa"/>
            <w:shd w:val="clear" w:color="auto" w:fill="auto"/>
            <w:noWrap/>
            <w:vAlign w:val="bottom"/>
            <w:hideMark/>
          </w:tcPr>
          <w:p w14:paraId="739D34D7" w14:textId="77777777" w:rsidR="00A20361" w:rsidRPr="00F31BE4" w:rsidRDefault="00A20361" w:rsidP="0048210B">
            <w:pPr>
              <w:jc w:val="right"/>
              <w:rPr>
                <w:sz w:val="20"/>
                <w:szCs w:val="20"/>
              </w:rPr>
            </w:pPr>
          </w:p>
        </w:tc>
        <w:tc>
          <w:tcPr>
            <w:tcW w:w="1279" w:type="dxa"/>
            <w:shd w:val="clear" w:color="auto" w:fill="auto"/>
            <w:noWrap/>
            <w:vAlign w:val="bottom"/>
            <w:hideMark/>
          </w:tcPr>
          <w:p w14:paraId="7101145D" w14:textId="77777777" w:rsidR="00A20361" w:rsidRPr="00F31BE4" w:rsidRDefault="00A20361" w:rsidP="0048210B">
            <w:pPr>
              <w:jc w:val="right"/>
              <w:rPr>
                <w:sz w:val="20"/>
                <w:szCs w:val="20"/>
              </w:rPr>
            </w:pPr>
            <w:r>
              <w:rPr>
                <w:sz w:val="20"/>
                <w:szCs w:val="20"/>
              </w:rPr>
              <w:t>(</w:t>
            </w:r>
            <w:r w:rsidRPr="00F31BE4">
              <w:rPr>
                <w:sz w:val="20"/>
                <w:szCs w:val="20"/>
              </w:rPr>
              <w:t>0.07</w:t>
            </w:r>
            <w:r>
              <w:rPr>
                <w:sz w:val="20"/>
                <w:szCs w:val="20"/>
              </w:rPr>
              <w:t>)</w:t>
            </w:r>
          </w:p>
        </w:tc>
        <w:tc>
          <w:tcPr>
            <w:tcW w:w="1279" w:type="dxa"/>
            <w:shd w:val="clear" w:color="auto" w:fill="auto"/>
            <w:noWrap/>
            <w:vAlign w:val="bottom"/>
            <w:hideMark/>
          </w:tcPr>
          <w:p w14:paraId="51772227" w14:textId="77777777" w:rsidR="00A20361" w:rsidRPr="00F31BE4" w:rsidRDefault="00A20361" w:rsidP="0048210B">
            <w:pPr>
              <w:jc w:val="right"/>
              <w:rPr>
                <w:sz w:val="20"/>
                <w:szCs w:val="20"/>
              </w:rPr>
            </w:pPr>
            <w:r>
              <w:rPr>
                <w:sz w:val="20"/>
                <w:szCs w:val="20"/>
              </w:rPr>
              <w:t>(</w:t>
            </w:r>
            <w:r w:rsidRPr="00F31BE4">
              <w:rPr>
                <w:sz w:val="20"/>
                <w:szCs w:val="20"/>
              </w:rPr>
              <w:t>0.07</w:t>
            </w:r>
            <w:r>
              <w:rPr>
                <w:sz w:val="20"/>
                <w:szCs w:val="20"/>
              </w:rPr>
              <w:t>)</w:t>
            </w:r>
          </w:p>
        </w:tc>
        <w:tc>
          <w:tcPr>
            <w:tcW w:w="1279" w:type="dxa"/>
            <w:shd w:val="clear" w:color="auto" w:fill="auto"/>
            <w:noWrap/>
            <w:vAlign w:val="bottom"/>
            <w:hideMark/>
          </w:tcPr>
          <w:p w14:paraId="6266216F" w14:textId="77777777" w:rsidR="00A20361" w:rsidRPr="00F31BE4" w:rsidRDefault="00A20361" w:rsidP="0048210B">
            <w:pPr>
              <w:jc w:val="right"/>
              <w:rPr>
                <w:sz w:val="20"/>
                <w:szCs w:val="20"/>
              </w:rPr>
            </w:pPr>
            <w:r>
              <w:rPr>
                <w:sz w:val="20"/>
                <w:szCs w:val="20"/>
              </w:rPr>
              <w:t>(</w:t>
            </w:r>
            <w:r w:rsidRPr="00F31BE4">
              <w:rPr>
                <w:sz w:val="20"/>
                <w:szCs w:val="20"/>
              </w:rPr>
              <w:t>0.06</w:t>
            </w:r>
            <w:r>
              <w:rPr>
                <w:sz w:val="20"/>
                <w:szCs w:val="20"/>
              </w:rPr>
              <w:t>)</w:t>
            </w:r>
          </w:p>
        </w:tc>
        <w:tc>
          <w:tcPr>
            <w:tcW w:w="1279" w:type="dxa"/>
            <w:shd w:val="clear" w:color="auto" w:fill="auto"/>
            <w:noWrap/>
            <w:vAlign w:val="bottom"/>
            <w:hideMark/>
          </w:tcPr>
          <w:p w14:paraId="031D956A" w14:textId="77777777" w:rsidR="00A20361" w:rsidRPr="00F31BE4" w:rsidRDefault="00A20361" w:rsidP="0048210B">
            <w:pPr>
              <w:jc w:val="right"/>
              <w:rPr>
                <w:sz w:val="20"/>
                <w:szCs w:val="20"/>
              </w:rPr>
            </w:pPr>
            <w:r>
              <w:rPr>
                <w:sz w:val="20"/>
                <w:szCs w:val="20"/>
              </w:rPr>
              <w:t>(</w:t>
            </w:r>
            <w:r w:rsidRPr="00F31BE4">
              <w:rPr>
                <w:sz w:val="20"/>
                <w:szCs w:val="20"/>
              </w:rPr>
              <w:t>0.07</w:t>
            </w:r>
            <w:r>
              <w:rPr>
                <w:sz w:val="20"/>
                <w:szCs w:val="20"/>
              </w:rPr>
              <w:t>)</w:t>
            </w:r>
          </w:p>
        </w:tc>
        <w:tc>
          <w:tcPr>
            <w:tcW w:w="1279" w:type="dxa"/>
            <w:shd w:val="clear" w:color="auto" w:fill="auto"/>
            <w:noWrap/>
            <w:vAlign w:val="bottom"/>
            <w:hideMark/>
          </w:tcPr>
          <w:p w14:paraId="20F9C12D" w14:textId="77777777" w:rsidR="00A20361" w:rsidRPr="00F31BE4" w:rsidRDefault="00A20361" w:rsidP="0048210B">
            <w:pPr>
              <w:jc w:val="right"/>
              <w:rPr>
                <w:sz w:val="20"/>
                <w:szCs w:val="20"/>
              </w:rPr>
            </w:pPr>
            <w:r>
              <w:rPr>
                <w:sz w:val="20"/>
                <w:szCs w:val="20"/>
              </w:rPr>
              <w:t>(</w:t>
            </w:r>
            <w:r w:rsidRPr="00F31BE4">
              <w:rPr>
                <w:sz w:val="20"/>
                <w:szCs w:val="20"/>
              </w:rPr>
              <w:t>0.06</w:t>
            </w:r>
            <w:r>
              <w:rPr>
                <w:sz w:val="20"/>
                <w:szCs w:val="20"/>
              </w:rPr>
              <w:t>)</w:t>
            </w:r>
          </w:p>
        </w:tc>
        <w:tc>
          <w:tcPr>
            <w:tcW w:w="1279" w:type="dxa"/>
            <w:shd w:val="clear" w:color="auto" w:fill="auto"/>
            <w:noWrap/>
            <w:vAlign w:val="bottom"/>
            <w:hideMark/>
          </w:tcPr>
          <w:p w14:paraId="2874A1A2" w14:textId="77777777" w:rsidR="00A20361" w:rsidRPr="00F31BE4" w:rsidRDefault="00A20361" w:rsidP="0048210B">
            <w:pPr>
              <w:jc w:val="right"/>
              <w:rPr>
                <w:sz w:val="20"/>
                <w:szCs w:val="20"/>
              </w:rPr>
            </w:pPr>
            <w:r>
              <w:rPr>
                <w:sz w:val="20"/>
                <w:szCs w:val="20"/>
              </w:rPr>
              <w:t>(</w:t>
            </w:r>
            <w:r w:rsidRPr="00F31BE4">
              <w:rPr>
                <w:sz w:val="20"/>
                <w:szCs w:val="20"/>
              </w:rPr>
              <w:t>0.06</w:t>
            </w:r>
            <w:r>
              <w:rPr>
                <w:sz w:val="20"/>
                <w:szCs w:val="20"/>
              </w:rPr>
              <w:t>)</w:t>
            </w:r>
          </w:p>
        </w:tc>
      </w:tr>
    </w:tbl>
    <w:p w14:paraId="46357D0D" w14:textId="1518D206" w:rsidR="00A20361" w:rsidRPr="00903409" w:rsidRDefault="00A20361" w:rsidP="00AB5C7C">
      <w:pPr>
        <w:jc w:val="both"/>
        <w:rPr>
          <w:rFonts w:ascii="Times" w:hAnsi="Times" w:cs="Times"/>
          <w:color w:val="000000"/>
          <w:sz w:val="20"/>
          <w:szCs w:val="20"/>
        </w:rPr>
      </w:pPr>
      <w:r w:rsidRPr="00903409">
        <w:rPr>
          <w:rFonts w:ascii="Times" w:hAnsi="Times" w:cs="Times"/>
          <w:color w:val="000000"/>
          <w:sz w:val="20"/>
          <w:szCs w:val="20"/>
        </w:rPr>
        <w:lastRenderedPageBreak/>
        <w:t xml:space="preserve">Note: </w:t>
      </w:r>
      <w:r w:rsidR="00AB5C7C" w:rsidRPr="00903409">
        <w:rPr>
          <w:rFonts w:ascii="Times" w:hAnsi="Times" w:cs="Times"/>
          <w:color w:val="000000"/>
          <w:sz w:val="20"/>
          <w:szCs w:val="20"/>
        </w:rPr>
        <w:t>School data are collected from the F33 School District Finance survey. CZ level demographic characteristics data are collected from IPUMS.</w:t>
      </w:r>
      <w:r w:rsidR="000E7A84" w:rsidRPr="00903409">
        <w:rPr>
          <w:rFonts w:ascii="Times" w:hAnsi="Times" w:cs="Times"/>
          <w:color w:val="000000"/>
          <w:sz w:val="20"/>
          <w:szCs w:val="20"/>
        </w:rPr>
        <w:t xml:space="preserve"> Samples </w:t>
      </w:r>
      <w:r w:rsidR="007919B5" w:rsidRPr="00903409">
        <w:rPr>
          <w:rFonts w:ascii="Times" w:hAnsi="Times" w:cs="Times"/>
          <w:color w:val="000000"/>
          <w:sz w:val="20"/>
          <w:szCs w:val="20"/>
        </w:rPr>
        <w:t>are split based on the median import exposure level in each year.</w:t>
      </w:r>
      <w:r w:rsidR="00AB5C7C" w:rsidRPr="00903409">
        <w:rPr>
          <w:rFonts w:ascii="Times" w:hAnsi="Times" w:cs="Times"/>
          <w:color w:val="000000"/>
          <w:sz w:val="20"/>
          <w:szCs w:val="20"/>
        </w:rPr>
        <w:t xml:space="preserve"> W</w:t>
      </w:r>
      <w:r w:rsidRPr="00903409">
        <w:rPr>
          <w:rFonts w:ascii="Times" w:hAnsi="Times" w:cs="Times" w:hint="eastAsia"/>
          <w:color w:val="000000"/>
          <w:sz w:val="20"/>
          <w:szCs w:val="20"/>
        </w:rPr>
        <w:t>eighted</w:t>
      </w:r>
      <w:r w:rsidRPr="00903409">
        <w:rPr>
          <w:rFonts w:ascii="Times" w:hAnsi="Times" w:cs="Times"/>
          <w:color w:val="000000"/>
          <w:sz w:val="20"/>
          <w:szCs w:val="20"/>
        </w:rPr>
        <w:t xml:space="preserve"> means and standard deviation reported in the table. </w:t>
      </w:r>
    </w:p>
    <w:p w14:paraId="0D0B25FB" w14:textId="77777777" w:rsidR="00A20361" w:rsidRDefault="00A20361" w:rsidP="00A20361">
      <w:pPr>
        <w:jc w:val="center"/>
        <w:rPr>
          <w:rFonts w:ascii="Times" w:hAnsi="Times" w:cs="Times"/>
          <w:color w:val="000000"/>
        </w:rPr>
      </w:pPr>
    </w:p>
    <w:p w14:paraId="365CB51C" w14:textId="77777777" w:rsidR="007919B5" w:rsidRDefault="007919B5">
      <w:pPr>
        <w:rPr>
          <w:rFonts w:ascii="Times" w:hAnsi="Times" w:cs="Times"/>
          <w:color w:val="000000"/>
        </w:rPr>
      </w:pPr>
      <w:r>
        <w:rPr>
          <w:rFonts w:ascii="Times" w:hAnsi="Times" w:cs="Times"/>
          <w:color w:val="000000"/>
        </w:rPr>
        <w:br w:type="page"/>
      </w:r>
    </w:p>
    <w:p w14:paraId="7FBCC1E1" w14:textId="64373E44" w:rsidR="00A20361" w:rsidRPr="00841E1D" w:rsidRDefault="00A20361" w:rsidP="00841E1D">
      <w:pPr>
        <w:rPr>
          <w:rFonts w:ascii="Times" w:hAnsi="Times" w:cs="Times"/>
          <w:b/>
          <w:bCs/>
          <w:color w:val="000000"/>
        </w:rPr>
      </w:pPr>
      <w:r w:rsidRPr="00841E1D">
        <w:rPr>
          <w:rFonts w:ascii="Times" w:hAnsi="Times" w:cs="Times"/>
          <w:b/>
          <w:bCs/>
          <w:color w:val="000000"/>
        </w:rPr>
        <w:lastRenderedPageBreak/>
        <w:t>Table 3 Import from China and per-pupil expenditure, CZ Level, 1990-2007</w:t>
      </w:r>
    </w:p>
    <w:p w14:paraId="0766E1AF" w14:textId="77777777" w:rsidR="00A20361" w:rsidRPr="005B294B" w:rsidRDefault="00A20361" w:rsidP="00A20361">
      <w:pPr>
        <w:jc w:val="center"/>
        <w:rPr>
          <w:rFonts w:ascii="Times" w:hAnsi="Times" w:cs="Times"/>
          <w:color w:val="000000"/>
        </w:rPr>
      </w:pPr>
      <w:r w:rsidRPr="005B294B">
        <w:rPr>
          <w:rFonts w:ascii="Times" w:hAnsi="Times" w:cs="Times"/>
          <w:color w:val="000000"/>
        </w:rPr>
        <w:t>Dependent Variable: Ten-year equivalent changes in per-pupil expenditure / $1000</w:t>
      </w:r>
    </w:p>
    <w:tbl>
      <w:tblPr>
        <w:tblW w:w="8943" w:type="dxa"/>
        <w:jc w:val="center"/>
        <w:tblLook w:val="04A0" w:firstRow="1" w:lastRow="0" w:firstColumn="1" w:lastColumn="0" w:noHBand="0" w:noVBand="1"/>
      </w:tblPr>
      <w:tblGrid>
        <w:gridCol w:w="2251"/>
        <w:gridCol w:w="449"/>
        <w:gridCol w:w="1035"/>
        <w:gridCol w:w="1302"/>
        <w:gridCol w:w="1302"/>
        <w:gridCol w:w="1302"/>
        <w:gridCol w:w="1302"/>
      </w:tblGrid>
      <w:tr w:rsidR="00A20361" w:rsidRPr="005B294B" w14:paraId="16139943" w14:textId="77777777" w:rsidTr="0048210B">
        <w:trPr>
          <w:trHeight w:val="285"/>
          <w:jc w:val="center"/>
        </w:trPr>
        <w:tc>
          <w:tcPr>
            <w:tcW w:w="2700" w:type="dxa"/>
            <w:gridSpan w:val="2"/>
            <w:tcBorders>
              <w:top w:val="single" w:sz="8" w:space="0" w:color="auto"/>
              <w:left w:val="nil"/>
              <w:bottom w:val="nil"/>
              <w:right w:val="nil"/>
            </w:tcBorders>
            <w:shd w:val="clear" w:color="auto" w:fill="auto"/>
            <w:noWrap/>
            <w:vAlign w:val="center"/>
            <w:hideMark/>
          </w:tcPr>
          <w:p w14:paraId="10EC9D51" w14:textId="77777777" w:rsidR="00A20361" w:rsidRPr="00DE6C9E" w:rsidRDefault="00A20361" w:rsidP="0048210B">
            <w:pPr>
              <w:rPr>
                <w:sz w:val="20"/>
                <w:szCs w:val="20"/>
              </w:rPr>
            </w:pPr>
            <w:r w:rsidRPr="00DE6C9E">
              <w:rPr>
                <w:sz w:val="20"/>
                <w:szCs w:val="20"/>
              </w:rPr>
              <w:t> </w:t>
            </w:r>
          </w:p>
        </w:tc>
        <w:tc>
          <w:tcPr>
            <w:tcW w:w="1035" w:type="dxa"/>
            <w:tcBorders>
              <w:top w:val="single" w:sz="8" w:space="0" w:color="auto"/>
              <w:left w:val="nil"/>
              <w:bottom w:val="nil"/>
              <w:right w:val="nil"/>
            </w:tcBorders>
            <w:shd w:val="clear" w:color="auto" w:fill="auto"/>
            <w:noWrap/>
            <w:vAlign w:val="center"/>
            <w:hideMark/>
          </w:tcPr>
          <w:p w14:paraId="605BDC61" w14:textId="77777777" w:rsidR="00A20361" w:rsidRPr="00DE6C9E" w:rsidRDefault="00A20361" w:rsidP="0048210B">
            <w:pPr>
              <w:jc w:val="center"/>
              <w:rPr>
                <w:sz w:val="20"/>
                <w:szCs w:val="20"/>
              </w:rPr>
            </w:pPr>
            <w:r w:rsidRPr="00DE6C9E">
              <w:rPr>
                <w:sz w:val="20"/>
                <w:szCs w:val="20"/>
              </w:rPr>
              <w:t>(1</w:t>
            </w:r>
            <w:r w:rsidRPr="00DE6C9E">
              <w:rPr>
                <w:rFonts w:hint="eastAsia"/>
                <w:sz w:val="20"/>
                <w:szCs w:val="20"/>
              </w:rPr>
              <w:t>)</w:t>
            </w:r>
          </w:p>
        </w:tc>
        <w:tc>
          <w:tcPr>
            <w:tcW w:w="1302" w:type="dxa"/>
            <w:tcBorders>
              <w:top w:val="single" w:sz="8" w:space="0" w:color="auto"/>
              <w:left w:val="nil"/>
              <w:bottom w:val="nil"/>
              <w:right w:val="nil"/>
            </w:tcBorders>
            <w:shd w:val="clear" w:color="auto" w:fill="auto"/>
            <w:noWrap/>
            <w:vAlign w:val="bottom"/>
            <w:hideMark/>
          </w:tcPr>
          <w:p w14:paraId="3F2258AB" w14:textId="77777777" w:rsidR="00A20361" w:rsidRPr="00DE6C9E" w:rsidRDefault="00A20361" w:rsidP="0048210B">
            <w:pPr>
              <w:jc w:val="center"/>
              <w:rPr>
                <w:sz w:val="20"/>
                <w:szCs w:val="20"/>
              </w:rPr>
            </w:pPr>
            <w:r w:rsidRPr="00DE6C9E">
              <w:rPr>
                <w:sz w:val="20"/>
                <w:szCs w:val="20"/>
              </w:rPr>
              <w:t>(2)</w:t>
            </w:r>
          </w:p>
        </w:tc>
        <w:tc>
          <w:tcPr>
            <w:tcW w:w="1302" w:type="dxa"/>
            <w:tcBorders>
              <w:top w:val="single" w:sz="8" w:space="0" w:color="auto"/>
              <w:left w:val="nil"/>
              <w:bottom w:val="nil"/>
              <w:right w:val="nil"/>
            </w:tcBorders>
            <w:shd w:val="clear" w:color="auto" w:fill="auto"/>
            <w:noWrap/>
            <w:vAlign w:val="bottom"/>
            <w:hideMark/>
          </w:tcPr>
          <w:p w14:paraId="23B07363" w14:textId="77777777" w:rsidR="00A20361" w:rsidRPr="00DE6C9E" w:rsidRDefault="00A20361" w:rsidP="0048210B">
            <w:pPr>
              <w:jc w:val="center"/>
              <w:rPr>
                <w:sz w:val="20"/>
                <w:szCs w:val="20"/>
              </w:rPr>
            </w:pPr>
            <w:r w:rsidRPr="00DE6C9E">
              <w:rPr>
                <w:sz w:val="20"/>
                <w:szCs w:val="20"/>
              </w:rPr>
              <w:t>(3)</w:t>
            </w:r>
          </w:p>
        </w:tc>
        <w:tc>
          <w:tcPr>
            <w:tcW w:w="1302" w:type="dxa"/>
            <w:tcBorders>
              <w:top w:val="single" w:sz="8" w:space="0" w:color="auto"/>
              <w:left w:val="nil"/>
              <w:bottom w:val="nil"/>
              <w:right w:val="nil"/>
            </w:tcBorders>
            <w:shd w:val="clear" w:color="auto" w:fill="auto"/>
            <w:noWrap/>
            <w:vAlign w:val="bottom"/>
            <w:hideMark/>
          </w:tcPr>
          <w:p w14:paraId="43475995" w14:textId="77777777" w:rsidR="00A20361" w:rsidRPr="00DE6C9E" w:rsidRDefault="00A20361" w:rsidP="0048210B">
            <w:pPr>
              <w:jc w:val="center"/>
              <w:rPr>
                <w:sz w:val="20"/>
                <w:szCs w:val="20"/>
              </w:rPr>
            </w:pPr>
            <w:r w:rsidRPr="00DE6C9E">
              <w:rPr>
                <w:sz w:val="20"/>
                <w:szCs w:val="20"/>
              </w:rPr>
              <w:t>(4)</w:t>
            </w:r>
          </w:p>
        </w:tc>
        <w:tc>
          <w:tcPr>
            <w:tcW w:w="1302" w:type="dxa"/>
            <w:tcBorders>
              <w:top w:val="single" w:sz="8" w:space="0" w:color="auto"/>
              <w:left w:val="nil"/>
              <w:bottom w:val="nil"/>
              <w:right w:val="nil"/>
            </w:tcBorders>
            <w:shd w:val="clear" w:color="auto" w:fill="auto"/>
            <w:noWrap/>
            <w:vAlign w:val="center"/>
            <w:hideMark/>
          </w:tcPr>
          <w:p w14:paraId="234480F2" w14:textId="77777777" w:rsidR="00A20361" w:rsidRPr="00DE6C9E" w:rsidRDefault="00A20361" w:rsidP="0048210B">
            <w:pPr>
              <w:jc w:val="center"/>
              <w:rPr>
                <w:sz w:val="20"/>
                <w:szCs w:val="20"/>
              </w:rPr>
            </w:pPr>
            <w:r w:rsidRPr="00DE6C9E">
              <w:rPr>
                <w:sz w:val="20"/>
                <w:szCs w:val="20"/>
              </w:rPr>
              <w:t>(5</w:t>
            </w:r>
            <w:r w:rsidRPr="00DE6C9E">
              <w:rPr>
                <w:rFonts w:hint="eastAsia"/>
                <w:sz w:val="20"/>
                <w:szCs w:val="20"/>
              </w:rPr>
              <w:t>)</w:t>
            </w:r>
          </w:p>
        </w:tc>
      </w:tr>
      <w:tr w:rsidR="00A20361" w:rsidRPr="005B294B" w14:paraId="690E25ED" w14:textId="77777777" w:rsidTr="0048210B">
        <w:trPr>
          <w:trHeight w:val="88"/>
          <w:jc w:val="center"/>
        </w:trPr>
        <w:tc>
          <w:tcPr>
            <w:tcW w:w="2700" w:type="dxa"/>
            <w:gridSpan w:val="2"/>
            <w:tcBorders>
              <w:top w:val="nil"/>
              <w:left w:val="nil"/>
              <w:bottom w:val="single" w:sz="8" w:space="0" w:color="auto"/>
              <w:right w:val="nil"/>
            </w:tcBorders>
            <w:shd w:val="clear" w:color="auto" w:fill="auto"/>
            <w:noWrap/>
            <w:vAlign w:val="center"/>
            <w:hideMark/>
          </w:tcPr>
          <w:p w14:paraId="08EB4E8C" w14:textId="77777777" w:rsidR="00A20361" w:rsidRPr="00DE6C9E" w:rsidRDefault="00A20361" w:rsidP="0048210B">
            <w:pPr>
              <w:rPr>
                <w:sz w:val="20"/>
                <w:szCs w:val="20"/>
              </w:rPr>
            </w:pPr>
            <w:r w:rsidRPr="00DE6C9E">
              <w:rPr>
                <w:sz w:val="20"/>
                <w:szCs w:val="20"/>
              </w:rPr>
              <w:t> </w:t>
            </w:r>
          </w:p>
        </w:tc>
        <w:tc>
          <w:tcPr>
            <w:tcW w:w="1035" w:type="dxa"/>
            <w:tcBorders>
              <w:top w:val="nil"/>
              <w:left w:val="nil"/>
              <w:bottom w:val="single" w:sz="8" w:space="0" w:color="auto"/>
              <w:right w:val="nil"/>
            </w:tcBorders>
            <w:shd w:val="clear" w:color="auto" w:fill="auto"/>
            <w:noWrap/>
            <w:vAlign w:val="center"/>
            <w:hideMark/>
          </w:tcPr>
          <w:p w14:paraId="463114F8" w14:textId="77777777" w:rsidR="00A20361" w:rsidRPr="00DE6C9E" w:rsidRDefault="00A20361" w:rsidP="0048210B">
            <w:pPr>
              <w:jc w:val="center"/>
              <w:rPr>
                <w:sz w:val="20"/>
                <w:szCs w:val="20"/>
              </w:rPr>
            </w:pPr>
            <w:r w:rsidRPr="00DE6C9E">
              <w:rPr>
                <w:rFonts w:hint="eastAsia"/>
                <w:sz w:val="20"/>
                <w:szCs w:val="20"/>
              </w:rPr>
              <w:t>OLS</w:t>
            </w:r>
          </w:p>
        </w:tc>
        <w:tc>
          <w:tcPr>
            <w:tcW w:w="1302" w:type="dxa"/>
            <w:tcBorders>
              <w:top w:val="nil"/>
              <w:left w:val="nil"/>
              <w:bottom w:val="single" w:sz="8" w:space="0" w:color="auto"/>
              <w:right w:val="nil"/>
            </w:tcBorders>
            <w:shd w:val="clear" w:color="auto" w:fill="auto"/>
            <w:noWrap/>
            <w:vAlign w:val="bottom"/>
            <w:hideMark/>
          </w:tcPr>
          <w:p w14:paraId="63FE4C34" w14:textId="77777777" w:rsidR="00A20361" w:rsidRPr="00DE6C9E" w:rsidRDefault="00A20361" w:rsidP="0048210B">
            <w:pPr>
              <w:jc w:val="center"/>
              <w:rPr>
                <w:sz w:val="20"/>
                <w:szCs w:val="20"/>
              </w:rPr>
            </w:pPr>
            <w:r w:rsidRPr="00DE6C9E">
              <w:rPr>
                <w:sz w:val="20"/>
                <w:szCs w:val="20"/>
              </w:rPr>
              <w:t>OLS</w:t>
            </w:r>
          </w:p>
        </w:tc>
        <w:tc>
          <w:tcPr>
            <w:tcW w:w="1302" w:type="dxa"/>
            <w:tcBorders>
              <w:top w:val="nil"/>
              <w:left w:val="nil"/>
              <w:bottom w:val="single" w:sz="8" w:space="0" w:color="auto"/>
              <w:right w:val="nil"/>
            </w:tcBorders>
            <w:shd w:val="clear" w:color="auto" w:fill="auto"/>
            <w:noWrap/>
            <w:vAlign w:val="bottom"/>
            <w:hideMark/>
          </w:tcPr>
          <w:p w14:paraId="2DBE4620" w14:textId="77777777" w:rsidR="00A20361" w:rsidRPr="00DE6C9E" w:rsidRDefault="00A20361" w:rsidP="0048210B">
            <w:pPr>
              <w:jc w:val="center"/>
              <w:rPr>
                <w:sz w:val="20"/>
                <w:szCs w:val="20"/>
              </w:rPr>
            </w:pPr>
            <w:r w:rsidRPr="00DE6C9E">
              <w:rPr>
                <w:rFonts w:hint="eastAsia"/>
                <w:sz w:val="20"/>
                <w:szCs w:val="20"/>
              </w:rPr>
              <w:t>OLS</w:t>
            </w:r>
          </w:p>
        </w:tc>
        <w:tc>
          <w:tcPr>
            <w:tcW w:w="1302" w:type="dxa"/>
            <w:tcBorders>
              <w:top w:val="nil"/>
              <w:left w:val="nil"/>
              <w:bottom w:val="single" w:sz="8" w:space="0" w:color="auto"/>
              <w:right w:val="nil"/>
            </w:tcBorders>
            <w:shd w:val="clear" w:color="auto" w:fill="auto"/>
            <w:noWrap/>
            <w:vAlign w:val="bottom"/>
            <w:hideMark/>
          </w:tcPr>
          <w:p w14:paraId="77950E4A" w14:textId="77777777" w:rsidR="00A20361" w:rsidRPr="00DE6C9E" w:rsidRDefault="00A20361" w:rsidP="0048210B">
            <w:pPr>
              <w:jc w:val="center"/>
              <w:rPr>
                <w:sz w:val="20"/>
                <w:szCs w:val="20"/>
              </w:rPr>
            </w:pPr>
            <w:r w:rsidRPr="00DE6C9E">
              <w:rPr>
                <w:sz w:val="20"/>
                <w:szCs w:val="20"/>
              </w:rPr>
              <w:t>OLS</w:t>
            </w:r>
          </w:p>
        </w:tc>
        <w:tc>
          <w:tcPr>
            <w:tcW w:w="1302" w:type="dxa"/>
            <w:tcBorders>
              <w:top w:val="nil"/>
              <w:left w:val="nil"/>
              <w:bottom w:val="single" w:sz="8" w:space="0" w:color="auto"/>
              <w:right w:val="nil"/>
            </w:tcBorders>
            <w:shd w:val="clear" w:color="auto" w:fill="auto"/>
            <w:noWrap/>
            <w:vAlign w:val="center"/>
            <w:hideMark/>
          </w:tcPr>
          <w:p w14:paraId="2C5236D4" w14:textId="77777777" w:rsidR="00A20361" w:rsidRPr="00DE6C9E" w:rsidRDefault="00A20361" w:rsidP="0048210B">
            <w:pPr>
              <w:jc w:val="center"/>
              <w:rPr>
                <w:sz w:val="20"/>
                <w:szCs w:val="20"/>
              </w:rPr>
            </w:pPr>
            <w:r w:rsidRPr="00DE6C9E">
              <w:rPr>
                <w:sz w:val="20"/>
                <w:szCs w:val="20"/>
              </w:rPr>
              <w:t>2SLS</w:t>
            </w:r>
          </w:p>
        </w:tc>
      </w:tr>
      <w:tr w:rsidR="00A20361" w:rsidRPr="005B294B" w14:paraId="12EC77CC"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5ED1D6CD" w14:textId="77777777" w:rsidR="00A20361" w:rsidRPr="00DE6C9E" w:rsidRDefault="00A20361" w:rsidP="0048210B">
            <w:pPr>
              <w:rPr>
                <w:sz w:val="20"/>
                <w:szCs w:val="20"/>
              </w:rPr>
            </w:pPr>
            <w:r w:rsidRPr="00DE6C9E">
              <w:rPr>
                <w:sz w:val="20"/>
                <w:szCs w:val="20"/>
              </w:rPr>
              <w:t>Δ Import Exposure</w:t>
            </w:r>
          </w:p>
        </w:tc>
        <w:tc>
          <w:tcPr>
            <w:tcW w:w="1035" w:type="dxa"/>
            <w:tcBorders>
              <w:top w:val="nil"/>
              <w:left w:val="nil"/>
              <w:bottom w:val="nil"/>
              <w:right w:val="nil"/>
            </w:tcBorders>
            <w:shd w:val="clear" w:color="auto" w:fill="auto"/>
            <w:noWrap/>
            <w:vAlign w:val="bottom"/>
            <w:hideMark/>
          </w:tcPr>
          <w:p w14:paraId="332A7148" w14:textId="77777777" w:rsidR="00A20361" w:rsidRPr="00DE6C9E" w:rsidRDefault="00A20361" w:rsidP="0048210B">
            <w:pPr>
              <w:jc w:val="center"/>
              <w:rPr>
                <w:sz w:val="20"/>
                <w:szCs w:val="20"/>
              </w:rPr>
            </w:pPr>
            <w:r w:rsidRPr="00DE6C9E">
              <w:rPr>
                <w:sz w:val="20"/>
                <w:szCs w:val="20"/>
              </w:rPr>
              <w:t>-0.097*</w:t>
            </w:r>
          </w:p>
        </w:tc>
        <w:tc>
          <w:tcPr>
            <w:tcW w:w="1302" w:type="dxa"/>
            <w:tcBorders>
              <w:top w:val="nil"/>
              <w:left w:val="nil"/>
              <w:bottom w:val="nil"/>
              <w:right w:val="nil"/>
            </w:tcBorders>
            <w:shd w:val="clear" w:color="auto" w:fill="auto"/>
            <w:noWrap/>
            <w:vAlign w:val="bottom"/>
            <w:hideMark/>
          </w:tcPr>
          <w:p w14:paraId="7E48A5D4" w14:textId="77777777" w:rsidR="00A20361" w:rsidRPr="00DE6C9E" w:rsidRDefault="00A20361" w:rsidP="0048210B">
            <w:pPr>
              <w:jc w:val="center"/>
              <w:rPr>
                <w:sz w:val="20"/>
                <w:szCs w:val="20"/>
              </w:rPr>
            </w:pPr>
            <w:r w:rsidRPr="00DE6C9E">
              <w:rPr>
                <w:sz w:val="20"/>
                <w:szCs w:val="20"/>
              </w:rPr>
              <w:t>-0.109**</w:t>
            </w:r>
          </w:p>
        </w:tc>
        <w:tc>
          <w:tcPr>
            <w:tcW w:w="1302" w:type="dxa"/>
            <w:tcBorders>
              <w:top w:val="nil"/>
              <w:left w:val="nil"/>
              <w:bottom w:val="nil"/>
              <w:right w:val="nil"/>
            </w:tcBorders>
            <w:shd w:val="clear" w:color="auto" w:fill="auto"/>
            <w:noWrap/>
            <w:vAlign w:val="bottom"/>
            <w:hideMark/>
          </w:tcPr>
          <w:p w14:paraId="440EAB94" w14:textId="77777777" w:rsidR="00A20361" w:rsidRPr="00DE6C9E" w:rsidRDefault="00A20361" w:rsidP="0048210B">
            <w:pPr>
              <w:jc w:val="center"/>
              <w:rPr>
                <w:sz w:val="20"/>
                <w:szCs w:val="20"/>
              </w:rPr>
            </w:pPr>
            <w:r w:rsidRPr="00DE6C9E">
              <w:rPr>
                <w:sz w:val="20"/>
                <w:szCs w:val="20"/>
              </w:rPr>
              <w:t>-0.110**</w:t>
            </w:r>
          </w:p>
        </w:tc>
        <w:tc>
          <w:tcPr>
            <w:tcW w:w="1302" w:type="dxa"/>
            <w:tcBorders>
              <w:top w:val="nil"/>
              <w:left w:val="nil"/>
              <w:bottom w:val="nil"/>
              <w:right w:val="nil"/>
            </w:tcBorders>
            <w:shd w:val="clear" w:color="auto" w:fill="auto"/>
            <w:noWrap/>
            <w:vAlign w:val="bottom"/>
            <w:hideMark/>
          </w:tcPr>
          <w:p w14:paraId="01D92675" w14:textId="77777777" w:rsidR="00A20361" w:rsidRPr="00DE6C9E" w:rsidRDefault="00A20361" w:rsidP="0048210B">
            <w:pPr>
              <w:jc w:val="center"/>
              <w:rPr>
                <w:sz w:val="20"/>
                <w:szCs w:val="20"/>
              </w:rPr>
            </w:pPr>
            <w:r w:rsidRPr="00DE6C9E">
              <w:rPr>
                <w:sz w:val="20"/>
                <w:szCs w:val="20"/>
              </w:rPr>
              <w:t>-0.118**</w:t>
            </w:r>
          </w:p>
        </w:tc>
        <w:tc>
          <w:tcPr>
            <w:tcW w:w="1302" w:type="dxa"/>
            <w:tcBorders>
              <w:top w:val="nil"/>
              <w:left w:val="nil"/>
              <w:bottom w:val="nil"/>
              <w:right w:val="nil"/>
            </w:tcBorders>
            <w:shd w:val="clear" w:color="auto" w:fill="auto"/>
            <w:noWrap/>
            <w:vAlign w:val="bottom"/>
            <w:hideMark/>
          </w:tcPr>
          <w:p w14:paraId="02A51A3E" w14:textId="77777777" w:rsidR="00A20361" w:rsidRPr="00DE6C9E" w:rsidRDefault="00A20361" w:rsidP="0048210B">
            <w:pPr>
              <w:jc w:val="center"/>
              <w:rPr>
                <w:sz w:val="20"/>
                <w:szCs w:val="20"/>
              </w:rPr>
            </w:pPr>
            <w:r w:rsidRPr="00DE6C9E">
              <w:rPr>
                <w:sz w:val="20"/>
                <w:szCs w:val="20"/>
              </w:rPr>
              <w:t>-0.262***</w:t>
            </w:r>
          </w:p>
        </w:tc>
      </w:tr>
      <w:tr w:rsidR="00A20361" w:rsidRPr="005B294B" w14:paraId="022AF0D3"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14BC8B39" w14:textId="77777777" w:rsidR="00A20361" w:rsidRPr="00DE6C9E" w:rsidRDefault="00A20361" w:rsidP="0048210B">
            <w:pPr>
              <w:rPr>
                <w:sz w:val="20"/>
                <w:szCs w:val="20"/>
              </w:rPr>
            </w:pPr>
          </w:p>
        </w:tc>
        <w:tc>
          <w:tcPr>
            <w:tcW w:w="1035" w:type="dxa"/>
            <w:tcBorders>
              <w:top w:val="nil"/>
              <w:left w:val="nil"/>
              <w:bottom w:val="nil"/>
              <w:right w:val="nil"/>
            </w:tcBorders>
            <w:shd w:val="clear" w:color="auto" w:fill="auto"/>
            <w:noWrap/>
            <w:vAlign w:val="bottom"/>
            <w:hideMark/>
          </w:tcPr>
          <w:p w14:paraId="2035CBD1" w14:textId="77777777" w:rsidR="00A20361" w:rsidRPr="00DE6C9E" w:rsidRDefault="00A20361" w:rsidP="0048210B">
            <w:pPr>
              <w:jc w:val="center"/>
              <w:rPr>
                <w:sz w:val="20"/>
                <w:szCs w:val="20"/>
              </w:rPr>
            </w:pPr>
            <w:r w:rsidRPr="00DE6C9E">
              <w:rPr>
                <w:sz w:val="20"/>
                <w:szCs w:val="20"/>
              </w:rPr>
              <w:t>(0.037)</w:t>
            </w:r>
          </w:p>
        </w:tc>
        <w:tc>
          <w:tcPr>
            <w:tcW w:w="1302" w:type="dxa"/>
            <w:tcBorders>
              <w:top w:val="nil"/>
              <w:left w:val="nil"/>
              <w:bottom w:val="nil"/>
              <w:right w:val="nil"/>
            </w:tcBorders>
            <w:shd w:val="clear" w:color="auto" w:fill="auto"/>
            <w:noWrap/>
            <w:vAlign w:val="bottom"/>
            <w:hideMark/>
          </w:tcPr>
          <w:p w14:paraId="4AD8C47F" w14:textId="77777777" w:rsidR="00A20361" w:rsidRPr="00DE6C9E" w:rsidRDefault="00A20361" w:rsidP="0048210B">
            <w:pPr>
              <w:jc w:val="center"/>
              <w:rPr>
                <w:sz w:val="20"/>
                <w:szCs w:val="20"/>
              </w:rPr>
            </w:pPr>
            <w:r w:rsidRPr="00DE6C9E">
              <w:rPr>
                <w:sz w:val="20"/>
                <w:szCs w:val="20"/>
              </w:rPr>
              <w:t>(0.040)</w:t>
            </w:r>
          </w:p>
        </w:tc>
        <w:tc>
          <w:tcPr>
            <w:tcW w:w="1302" w:type="dxa"/>
            <w:tcBorders>
              <w:top w:val="nil"/>
              <w:left w:val="nil"/>
              <w:bottom w:val="nil"/>
              <w:right w:val="nil"/>
            </w:tcBorders>
            <w:shd w:val="clear" w:color="auto" w:fill="auto"/>
            <w:noWrap/>
            <w:vAlign w:val="bottom"/>
            <w:hideMark/>
          </w:tcPr>
          <w:p w14:paraId="78F70CE8" w14:textId="77777777" w:rsidR="00A20361" w:rsidRPr="00DE6C9E" w:rsidRDefault="00A20361" w:rsidP="0048210B">
            <w:pPr>
              <w:jc w:val="center"/>
              <w:rPr>
                <w:sz w:val="20"/>
                <w:szCs w:val="20"/>
              </w:rPr>
            </w:pPr>
            <w:r w:rsidRPr="00DE6C9E">
              <w:rPr>
                <w:sz w:val="20"/>
                <w:szCs w:val="20"/>
              </w:rPr>
              <w:t>(0.034)</w:t>
            </w:r>
          </w:p>
        </w:tc>
        <w:tc>
          <w:tcPr>
            <w:tcW w:w="1302" w:type="dxa"/>
            <w:tcBorders>
              <w:top w:val="nil"/>
              <w:left w:val="nil"/>
              <w:bottom w:val="nil"/>
              <w:right w:val="nil"/>
            </w:tcBorders>
            <w:shd w:val="clear" w:color="auto" w:fill="auto"/>
            <w:noWrap/>
            <w:vAlign w:val="bottom"/>
            <w:hideMark/>
          </w:tcPr>
          <w:p w14:paraId="38B71924" w14:textId="77777777" w:rsidR="00A20361" w:rsidRPr="00DE6C9E" w:rsidRDefault="00A20361" w:rsidP="0048210B">
            <w:pPr>
              <w:jc w:val="center"/>
              <w:rPr>
                <w:sz w:val="20"/>
                <w:szCs w:val="20"/>
              </w:rPr>
            </w:pPr>
            <w:r w:rsidRPr="00DE6C9E">
              <w:rPr>
                <w:sz w:val="20"/>
                <w:szCs w:val="20"/>
              </w:rPr>
              <w:t>(0.034)</w:t>
            </w:r>
          </w:p>
        </w:tc>
        <w:tc>
          <w:tcPr>
            <w:tcW w:w="1302" w:type="dxa"/>
            <w:tcBorders>
              <w:top w:val="nil"/>
              <w:left w:val="nil"/>
              <w:bottom w:val="nil"/>
              <w:right w:val="nil"/>
            </w:tcBorders>
            <w:shd w:val="clear" w:color="auto" w:fill="auto"/>
            <w:noWrap/>
            <w:vAlign w:val="bottom"/>
            <w:hideMark/>
          </w:tcPr>
          <w:p w14:paraId="634C5377" w14:textId="77777777" w:rsidR="00A20361" w:rsidRPr="00DE6C9E" w:rsidRDefault="00A20361" w:rsidP="0048210B">
            <w:pPr>
              <w:jc w:val="center"/>
              <w:rPr>
                <w:sz w:val="20"/>
                <w:szCs w:val="20"/>
              </w:rPr>
            </w:pPr>
            <w:r w:rsidRPr="00DE6C9E">
              <w:rPr>
                <w:sz w:val="20"/>
                <w:szCs w:val="20"/>
              </w:rPr>
              <w:t>(0.064)</w:t>
            </w:r>
          </w:p>
        </w:tc>
      </w:tr>
      <w:tr w:rsidR="00A20361" w:rsidRPr="005B294B" w14:paraId="08B2B326"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4465740B" w14:textId="77777777" w:rsidR="00A20361" w:rsidRPr="00DE6C9E" w:rsidRDefault="00A20361" w:rsidP="0048210B">
            <w:pPr>
              <w:rPr>
                <w:sz w:val="20"/>
                <w:szCs w:val="20"/>
              </w:rPr>
            </w:pPr>
            <w:r w:rsidRPr="00DE6C9E">
              <w:rPr>
                <w:sz w:val="20"/>
                <w:szCs w:val="20"/>
              </w:rPr>
              <w:t>Manufacturing Employment Share</w:t>
            </w:r>
          </w:p>
        </w:tc>
        <w:tc>
          <w:tcPr>
            <w:tcW w:w="1035" w:type="dxa"/>
            <w:tcBorders>
              <w:top w:val="nil"/>
              <w:left w:val="nil"/>
              <w:bottom w:val="nil"/>
              <w:right w:val="nil"/>
            </w:tcBorders>
            <w:shd w:val="clear" w:color="auto" w:fill="auto"/>
            <w:noWrap/>
            <w:vAlign w:val="bottom"/>
            <w:hideMark/>
          </w:tcPr>
          <w:p w14:paraId="032195FB" w14:textId="77777777" w:rsidR="00A20361" w:rsidRPr="00DE6C9E" w:rsidRDefault="00A20361" w:rsidP="0048210B">
            <w:pPr>
              <w:jc w:val="center"/>
              <w:rPr>
                <w:sz w:val="20"/>
                <w:szCs w:val="20"/>
              </w:rPr>
            </w:pPr>
            <w:r w:rsidRPr="00DE6C9E">
              <w:rPr>
                <w:sz w:val="20"/>
                <w:szCs w:val="20"/>
              </w:rPr>
              <w:t>-0.001</w:t>
            </w:r>
          </w:p>
        </w:tc>
        <w:tc>
          <w:tcPr>
            <w:tcW w:w="1302" w:type="dxa"/>
            <w:tcBorders>
              <w:top w:val="nil"/>
              <w:left w:val="nil"/>
              <w:bottom w:val="nil"/>
              <w:right w:val="nil"/>
            </w:tcBorders>
            <w:shd w:val="clear" w:color="auto" w:fill="auto"/>
            <w:noWrap/>
            <w:vAlign w:val="bottom"/>
            <w:hideMark/>
          </w:tcPr>
          <w:p w14:paraId="3A836958" w14:textId="77777777" w:rsidR="00A20361" w:rsidRPr="00DE6C9E" w:rsidRDefault="00A20361" w:rsidP="0048210B">
            <w:pPr>
              <w:jc w:val="center"/>
              <w:rPr>
                <w:sz w:val="20"/>
                <w:szCs w:val="20"/>
              </w:rPr>
            </w:pPr>
            <w:r w:rsidRPr="00DE6C9E">
              <w:rPr>
                <w:sz w:val="20"/>
                <w:szCs w:val="20"/>
              </w:rPr>
              <w:t>-0.002</w:t>
            </w:r>
          </w:p>
        </w:tc>
        <w:tc>
          <w:tcPr>
            <w:tcW w:w="1302" w:type="dxa"/>
            <w:tcBorders>
              <w:top w:val="nil"/>
              <w:left w:val="nil"/>
              <w:bottom w:val="nil"/>
              <w:right w:val="nil"/>
            </w:tcBorders>
            <w:shd w:val="clear" w:color="auto" w:fill="auto"/>
            <w:noWrap/>
            <w:vAlign w:val="bottom"/>
            <w:hideMark/>
          </w:tcPr>
          <w:p w14:paraId="5E6D206C" w14:textId="77777777" w:rsidR="00A20361" w:rsidRPr="00DE6C9E" w:rsidRDefault="00A20361" w:rsidP="0048210B">
            <w:pPr>
              <w:jc w:val="center"/>
              <w:rPr>
                <w:sz w:val="20"/>
                <w:szCs w:val="20"/>
              </w:rPr>
            </w:pPr>
            <w:r w:rsidRPr="00DE6C9E">
              <w:rPr>
                <w:sz w:val="20"/>
                <w:szCs w:val="20"/>
              </w:rPr>
              <w:t>0.010</w:t>
            </w:r>
          </w:p>
        </w:tc>
        <w:tc>
          <w:tcPr>
            <w:tcW w:w="1302" w:type="dxa"/>
            <w:tcBorders>
              <w:top w:val="nil"/>
              <w:left w:val="nil"/>
              <w:bottom w:val="nil"/>
              <w:right w:val="nil"/>
            </w:tcBorders>
            <w:shd w:val="clear" w:color="auto" w:fill="auto"/>
            <w:noWrap/>
            <w:vAlign w:val="bottom"/>
            <w:hideMark/>
          </w:tcPr>
          <w:p w14:paraId="1B81BCB5" w14:textId="77777777" w:rsidR="00A20361" w:rsidRPr="00DE6C9E" w:rsidRDefault="00A20361" w:rsidP="0048210B">
            <w:pPr>
              <w:jc w:val="center"/>
              <w:rPr>
                <w:sz w:val="20"/>
                <w:szCs w:val="20"/>
              </w:rPr>
            </w:pPr>
            <w:r w:rsidRPr="00DE6C9E">
              <w:rPr>
                <w:sz w:val="20"/>
                <w:szCs w:val="20"/>
              </w:rPr>
              <w:t>0.011</w:t>
            </w:r>
          </w:p>
        </w:tc>
        <w:tc>
          <w:tcPr>
            <w:tcW w:w="1302" w:type="dxa"/>
            <w:tcBorders>
              <w:top w:val="nil"/>
              <w:left w:val="nil"/>
              <w:bottom w:val="nil"/>
              <w:right w:val="nil"/>
            </w:tcBorders>
            <w:shd w:val="clear" w:color="auto" w:fill="auto"/>
            <w:noWrap/>
            <w:vAlign w:val="bottom"/>
            <w:hideMark/>
          </w:tcPr>
          <w:p w14:paraId="5B312DB1" w14:textId="77777777" w:rsidR="00A20361" w:rsidRPr="00DE6C9E" w:rsidRDefault="00A20361" w:rsidP="0048210B">
            <w:pPr>
              <w:jc w:val="center"/>
              <w:rPr>
                <w:sz w:val="20"/>
                <w:szCs w:val="20"/>
              </w:rPr>
            </w:pPr>
            <w:r w:rsidRPr="00DE6C9E">
              <w:rPr>
                <w:sz w:val="20"/>
                <w:szCs w:val="20"/>
              </w:rPr>
              <w:t>0.027*</w:t>
            </w:r>
          </w:p>
        </w:tc>
      </w:tr>
      <w:tr w:rsidR="00A20361" w:rsidRPr="005B294B" w14:paraId="18D56F83"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4A8F7619" w14:textId="77777777" w:rsidR="00A20361" w:rsidRPr="00DE6C9E" w:rsidRDefault="00A20361" w:rsidP="0048210B">
            <w:pPr>
              <w:rPr>
                <w:sz w:val="20"/>
                <w:szCs w:val="20"/>
              </w:rPr>
            </w:pPr>
          </w:p>
        </w:tc>
        <w:tc>
          <w:tcPr>
            <w:tcW w:w="1035" w:type="dxa"/>
            <w:tcBorders>
              <w:top w:val="nil"/>
              <w:left w:val="nil"/>
              <w:bottom w:val="nil"/>
              <w:right w:val="nil"/>
            </w:tcBorders>
            <w:shd w:val="clear" w:color="auto" w:fill="auto"/>
            <w:noWrap/>
            <w:vAlign w:val="bottom"/>
            <w:hideMark/>
          </w:tcPr>
          <w:p w14:paraId="7CB266E2" w14:textId="77777777" w:rsidR="00A20361" w:rsidRPr="00DE6C9E" w:rsidRDefault="00A20361" w:rsidP="0048210B">
            <w:pPr>
              <w:jc w:val="center"/>
              <w:rPr>
                <w:sz w:val="20"/>
                <w:szCs w:val="20"/>
              </w:rPr>
            </w:pPr>
            <w:r w:rsidRPr="00DE6C9E">
              <w:rPr>
                <w:sz w:val="20"/>
                <w:szCs w:val="20"/>
              </w:rPr>
              <w:t>(0.011)</w:t>
            </w:r>
          </w:p>
        </w:tc>
        <w:tc>
          <w:tcPr>
            <w:tcW w:w="1302" w:type="dxa"/>
            <w:tcBorders>
              <w:top w:val="nil"/>
              <w:left w:val="nil"/>
              <w:bottom w:val="nil"/>
              <w:right w:val="nil"/>
            </w:tcBorders>
            <w:shd w:val="clear" w:color="auto" w:fill="auto"/>
            <w:noWrap/>
            <w:vAlign w:val="bottom"/>
            <w:hideMark/>
          </w:tcPr>
          <w:p w14:paraId="6321E915" w14:textId="77777777" w:rsidR="00A20361" w:rsidRPr="00DE6C9E" w:rsidRDefault="00A20361" w:rsidP="0048210B">
            <w:pPr>
              <w:jc w:val="center"/>
              <w:rPr>
                <w:sz w:val="20"/>
                <w:szCs w:val="20"/>
              </w:rPr>
            </w:pPr>
            <w:r w:rsidRPr="00DE6C9E">
              <w:rPr>
                <w:sz w:val="20"/>
                <w:szCs w:val="20"/>
              </w:rPr>
              <w:t>(0.008)</w:t>
            </w:r>
          </w:p>
        </w:tc>
        <w:tc>
          <w:tcPr>
            <w:tcW w:w="1302" w:type="dxa"/>
            <w:tcBorders>
              <w:top w:val="nil"/>
              <w:left w:val="nil"/>
              <w:bottom w:val="nil"/>
              <w:right w:val="nil"/>
            </w:tcBorders>
            <w:shd w:val="clear" w:color="auto" w:fill="auto"/>
            <w:noWrap/>
            <w:vAlign w:val="bottom"/>
            <w:hideMark/>
          </w:tcPr>
          <w:p w14:paraId="26F7A392" w14:textId="77777777" w:rsidR="00A20361" w:rsidRPr="00DE6C9E" w:rsidRDefault="00A20361" w:rsidP="0048210B">
            <w:pPr>
              <w:jc w:val="center"/>
              <w:rPr>
                <w:sz w:val="20"/>
                <w:szCs w:val="20"/>
              </w:rPr>
            </w:pPr>
            <w:r w:rsidRPr="00DE6C9E">
              <w:rPr>
                <w:sz w:val="20"/>
                <w:szCs w:val="20"/>
              </w:rPr>
              <w:t>(0.009)</w:t>
            </w:r>
          </w:p>
        </w:tc>
        <w:tc>
          <w:tcPr>
            <w:tcW w:w="1302" w:type="dxa"/>
            <w:tcBorders>
              <w:top w:val="nil"/>
              <w:left w:val="nil"/>
              <w:bottom w:val="nil"/>
              <w:right w:val="nil"/>
            </w:tcBorders>
            <w:shd w:val="clear" w:color="auto" w:fill="auto"/>
            <w:noWrap/>
            <w:vAlign w:val="bottom"/>
            <w:hideMark/>
          </w:tcPr>
          <w:p w14:paraId="054AE2D2" w14:textId="77777777" w:rsidR="00A20361" w:rsidRPr="00DE6C9E" w:rsidRDefault="00A20361" w:rsidP="0048210B">
            <w:pPr>
              <w:jc w:val="center"/>
              <w:rPr>
                <w:sz w:val="20"/>
                <w:szCs w:val="20"/>
              </w:rPr>
            </w:pPr>
            <w:r w:rsidRPr="00DE6C9E">
              <w:rPr>
                <w:sz w:val="20"/>
                <w:szCs w:val="20"/>
              </w:rPr>
              <w:t>(0.009)</w:t>
            </w:r>
          </w:p>
        </w:tc>
        <w:tc>
          <w:tcPr>
            <w:tcW w:w="1302" w:type="dxa"/>
            <w:tcBorders>
              <w:top w:val="nil"/>
              <w:left w:val="nil"/>
              <w:bottom w:val="nil"/>
              <w:right w:val="nil"/>
            </w:tcBorders>
            <w:shd w:val="clear" w:color="auto" w:fill="auto"/>
            <w:noWrap/>
            <w:vAlign w:val="bottom"/>
            <w:hideMark/>
          </w:tcPr>
          <w:p w14:paraId="24EC5068" w14:textId="77777777" w:rsidR="00A20361" w:rsidRPr="00DE6C9E" w:rsidRDefault="00A20361" w:rsidP="0048210B">
            <w:pPr>
              <w:jc w:val="center"/>
              <w:rPr>
                <w:sz w:val="20"/>
                <w:szCs w:val="20"/>
              </w:rPr>
            </w:pPr>
            <w:r w:rsidRPr="00DE6C9E">
              <w:rPr>
                <w:sz w:val="20"/>
                <w:szCs w:val="20"/>
              </w:rPr>
              <w:t>(0.011)</w:t>
            </w:r>
          </w:p>
        </w:tc>
      </w:tr>
      <w:tr w:rsidR="00A20361" w:rsidRPr="005B294B" w14:paraId="338B4D91" w14:textId="77777777" w:rsidTr="0048210B">
        <w:trPr>
          <w:trHeight w:val="285"/>
          <w:jc w:val="center"/>
        </w:trPr>
        <w:tc>
          <w:tcPr>
            <w:tcW w:w="3735" w:type="dxa"/>
            <w:gridSpan w:val="3"/>
            <w:tcBorders>
              <w:top w:val="nil"/>
              <w:left w:val="nil"/>
              <w:bottom w:val="nil"/>
              <w:right w:val="nil"/>
            </w:tcBorders>
            <w:shd w:val="clear" w:color="auto" w:fill="auto"/>
            <w:noWrap/>
            <w:vAlign w:val="center"/>
            <w:hideMark/>
          </w:tcPr>
          <w:p w14:paraId="4F23C43D" w14:textId="77777777" w:rsidR="00A20361" w:rsidRPr="00DE6C9E" w:rsidRDefault="00A20361" w:rsidP="0048210B">
            <w:pPr>
              <w:rPr>
                <w:sz w:val="20"/>
                <w:szCs w:val="20"/>
              </w:rPr>
            </w:pPr>
            <w:r w:rsidRPr="00DE6C9E">
              <w:rPr>
                <w:sz w:val="20"/>
                <w:szCs w:val="20"/>
              </w:rPr>
              <w:t>College Educated Share</w:t>
            </w:r>
          </w:p>
        </w:tc>
        <w:tc>
          <w:tcPr>
            <w:tcW w:w="1302" w:type="dxa"/>
            <w:tcBorders>
              <w:top w:val="nil"/>
              <w:left w:val="nil"/>
              <w:bottom w:val="nil"/>
              <w:right w:val="nil"/>
            </w:tcBorders>
            <w:shd w:val="clear" w:color="auto" w:fill="auto"/>
            <w:noWrap/>
            <w:vAlign w:val="bottom"/>
            <w:hideMark/>
          </w:tcPr>
          <w:p w14:paraId="2A2C3539"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7D02961C"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tcPr>
          <w:p w14:paraId="6745982C" w14:textId="77777777" w:rsidR="00A20361" w:rsidRPr="00DE6C9E" w:rsidRDefault="00A20361" w:rsidP="0048210B">
            <w:pPr>
              <w:jc w:val="center"/>
              <w:rPr>
                <w:sz w:val="20"/>
                <w:szCs w:val="20"/>
              </w:rPr>
            </w:pPr>
            <w:r w:rsidRPr="00DE6C9E">
              <w:rPr>
                <w:sz w:val="20"/>
                <w:szCs w:val="20"/>
              </w:rPr>
              <w:t>0.022</w:t>
            </w:r>
          </w:p>
        </w:tc>
        <w:tc>
          <w:tcPr>
            <w:tcW w:w="1302" w:type="dxa"/>
            <w:tcBorders>
              <w:top w:val="nil"/>
              <w:left w:val="nil"/>
              <w:bottom w:val="nil"/>
              <w:right w:val="nil"/>
            </w:tcBorders>
            <w:shd w:val="clear" w:color="auto" w:fill="auto"/>
            <w:noWrap/>
            <w:vAlign w:val="bottom"/>
          </w:tcPr>
          <w:p w14:paraId="73EBAE51" w14:textId="77777777" w:rsidR="00A20361" w:rsidRPr="00DE6C9E" w:rsidRDefault="00A20361" w:rsidP="0048210B">
            <w:pPr>
              <w:jc w:val="center"/>
              <w:rPr>
                <w:sz w:val="20"/>
                <w:szCs w:val="20"/>
              </w:rPr>
            </w:pPr>
            <w:r w:rsidRPr="00DE6C9E">
              <w:rPr>
                <w:sz w:val="20"/>
                <w:szCs w:val="20"/>
              </w:rPr>
              <w:t>0.027</w:t>
            </w:r>
          </w:p>
        </w:tc>
      </w:tr>
      <w:tr w:rsidR="00A20361" w:rsidRPr="005B294B" w14:paraId="529F8E71"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022B7C23" w14:textId="77777777" w:rsidR="00A20361" w:rsidRPr="00DE6C9E" w:rsidRDefault="00A20361" w:rsidP="0048210B">
            <w:pPr>
              <w:jc w:val="right"/>
              <w:rPr>
                <w:sz w:val="20"/>
                <w:szCs w:val="20"/>
              </w:rPr>
            </w:pPr>
          </w:p>
        </w:tc>
        <w:tc>
          <w:tcPr>
            <w:tcW w:w="1035" w:type="dxa"/>
            <w:tcBorders>
              <w:top w:val="nil"/>
              <w:left w:val="nil"/>
              <w:bottom w:val="nil"/>
              <w:right w:val="nil"/>
            </w:tcBorders>
            <w:shd w:val="clear" w:color="auto" w:fill="auto"/>
            <w:noWrap/>
            <w:vAlign w:val="bottom"/>
            <w:hideMark/>
          </w:tcPr>
          <w:p w14:paraId="5945F0A1"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6B2D26E1"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3E398724" w14:textId="77777777" w:rsidR="00A20361" w:rsidRPr="00DE6C9E" w:rsidRDefault="00A20361" w:rsidP="0048210B">
            <w:pPr>
              <w:jc w:val="center"/>
              <w:rPr>
                <w:sz w:val="20"/>
                <w:szCs w:val="20"/>
              </w:rPr>
            </w:pPr>
            <w:r w:rsidRPr="00DE6C9E">
              <w:rPr>
                <w:sz w:val="20"/>
                <w:szCs w:val="20"/>
              </w:rPr>
              <w:t>(0.014)</w:t>
            </w:r>
          </w:p>
        </w:tc>
        <w:tc>
          <w:tcPr>
            <w:tcW w:w="1302" w:type="dxa"/>
            <w:tcBorders>
              <w:top w:val="nil"/>
              <w:left w:val="nil"/>
              <w:bottom w:val="nil"/>
              <w:right w:val="nil"/>
            </w:tcBorders>
            <w:shd w:val="clear" w:color="auto" w:fill="auto"/>
            <w:noWrap/>
            <w:vAlign w:val="bottom"/>
            <w:hideMark/>
          </w:tcPr>
          <w:p w14:paraId="40023E3B" w14:textId="77777777" w:rsidR="00A20361" w:rsidRPr="00DE6C9E" w:rsidRDefault="00A20361" w:rsidP="0048210B">
            <w:pPr>
              <w:jc w:val="center"/>
              <w:rPr>
                <w:sz w:val="20"/>
                <w:szCs w:val="20"/>
              </w:rPr>
            </w:pPr>
            <w:r w:rsidRPr="00DE6C9E">
              <w:rPr>
                <w:sz w:val="20"/>
                <w:szCs w:val="20"/>
              </w:rPr>
              <w:t>(0.015)</w:t>
            </w:r>
          </w:p>
        </w:tc>
        <w:tc>
          <w:tcPr>
            <w:tcW w:w="1302" w:type="dxa"/>
            <w:tcBorders>
              <w:top w:val="nil"/>
              <w:left w:val="nil"/>
              <w:bottom w:val="nil"/>
              <w:right w:val="nil"/>
            </w:tcBorders>
            <w:shd w:val="clear" w:color="auto" w:fill="auto"/>
            <w:noWrap/>
            <w:vAlign w:val="bottom"/>
            <w:hideMark/>
          </w:tcPr>
          <w:p w14:paraId="311A2238" w14:textId="77777777" w:rsidR="00A20361" w:rsidRPr="00DE6C9E" w:rsidRDefault="00A20361" w:rsidP="0048210B">
            <w:pPr>
              <w:jc w:val="center"/>
              <w:rPr>
                <w:sz w:val="20"/>
                <w:szCs w:val="20"/>
              </w:rPr>
            </w:pPr>
            <w:r w:rsidRPr="00DE6C9E">
              <w:rPr>
                <w:sz w:val="20"/>
                <w:szCs w:val="20"/>
              </w:rPr>
              <w:t>(0.015)</w:t>
            </w:r>
          </w:p>
        </w:tc>
      </w:tr>
      <w:tr w:rsidR="00A20361" w:rsidRPr="005B294B" w14:paraId="497D54B0" w14:textId="77777777" w:rsidTr="0048210B">
        <w:trPr>
          <w:trHeight w:val="285"/>
          <w:jc w:val="center"/>
        </w:trPr>
        <w:tc>
          <w:tcPr>
            <w:tcW w:w="3735" w:type="dxa"/>
            <w:gridSpan w:val="3"/>
            <w:tcBorders>
              <w:top w:val="nil"/>
              <w:left w:val="nil"/>
              <w:bottom w:val="nil"/>
              <w:right w:val="nil"/>
            </w:tcBorders>
            <w:shd w:val="clear" w:color="auto" w:fill="auto"/>
            <w:noWrap/>
            <w:vAlign w:val="center"/>
            <w:hideMark/>
          </w:tcPr>
          <w:p w14:paraId="4E28658F" w14:textId="77777777" w:rsidR="00A20361" w:rsidRPr="00DE6C9E" w:rsidRDefault="00A20361" w:rsidP="0048210B">
            <w:pPr>
              <w:rPr>
                <w:sz w:val="20"/>
                <w:szCs w:val="20"/>
              </w:rPr>
            </w:pPr>
            <w:r w:rsidRPr="00DE6C9E">
              <w:rPr>
                <w:sz w:val="20"/>
                <w:szCs w:val="20"/>
              </w:rPr>
              <w:t>Foreign Born Share</w:t>
            </w:r>
          </w:p>
        </w:tc>
        <w:tc>
          <w:tcPr>
            <w:tcW w:w="1302" w:type="dxa"/>
            <w:tcBorders>
              <w:top w:val="nil"/>
              <w:left w:val="nil"/>
              <w:bottom w:val="nil"/>
              <w:right w:val="nil"/>
            </w:tcBorders>
            <w:shd w:val="clear" w:color="auto" w:fill="auto"/>
            <w:noWrap/>
            <w:vAlign w:val="bottom"/>
            <w:hideMark/>
          </w:tcPr>
          <w:p w14:paraId="7ECCF6FD"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182C3229"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tcPr>
          <w:p w14:paraId="728D183F" w14:textId="77777777" w:rsidR="00A20361" w:rsidRPr="00DE6C9E" w:rsidRDefault="00A20361" w:rsidP="0048210B">
            <w:pPr>
              <w:jc w:val="center"/>
              <w:rPr>
                <w:sz w:val="20"/>
                <w:szCs w:val="20"/>
              </w:rPr>
            </w:pPr>
            <w:r w:rsidRPr="00DE6C9E">
              <w:rPr>
                <w:sz w:val="20"/>
                <w:szCs w:val="20"/>
              </w:rPr>
              <w:t>0.019</w:t>
            </w:r>
          </w:p>
        </w:tc>
        <w:tc>
          <w:tcPr>
            <w:tcW w:w="1302" w:type="dxa"/>
            <w:tcBorders>
              <w:top w:val="nil"/>
              <w:left w:val="nil"/>
              <w:bottom w:val="nil"/>
              <w:right w:val="nil"/>
            </w:tcBorders>
            <w:shd w:val="clear" w:color="auto" w:fill="auto"/>
            <w:noWrap/>
            <w:vAlign w:val="bottom"/>
          </w:tcPr>
          <w:p w14:paraId="29E8226C" w14:textId="77777777" w:rsidR="00A20361" w:rsidRPr="00DE6C9E" w:rsidRDefault="00A20361" w:rsidP="0048210B">
            <w:pPr>
              <w:jc w:val="center"/>
              <w:rPr>
                <w:sz w:val="20"/>
                <w:szCs w:val="20"/>
              </w:rPr>
            </w:pPr>
            <w:r w:rsidRPr="00DE6C9E">
              <w:rPr>
                <w:sz w:val="20"/>
                <w:szCs w:val="20"/>
              </w:rPr>
              <w:t>0.026</w:t>
            </w:r>
          </w:p>
        </w:tc>
      </w:tr>
      <w:tr w:rsidR="00A20361" w:rsidRPr="005B294B" w14:paraId="5B8A79BA"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6826BA67" w14:textId="77777777" w:rsidR="00A20361" w:rsidRPr="00DE6C9E" w:rsidRDefault="00A20361" w:rsidP="0048210B">
            <w:pPr>
              <w:rPr>
                <w:sz w:val="20"/>
                <w:szCs w:val="20"/>
              </w:rPr>
            </w:pPr>
          </w:p>
        </w:tc>
        <w:tc>
          <w:tcPr>
            <w:tcW w:w="1035" w:type="dxa"/>
            <w:tcBorders>
              <w:top w:val="nil"/>
              <w:left w:val="nil"/>
              <w:bottom w:val="nil"/>
              <w:right w:val="nil"/>
            </w:tcBorders>
            <w:shd w:val="clear" w:color="auto" w:fill="auto"/>
            <w:noWrap/>
            <w:vAlign w:val="bottom"/>
            <w:hideMark/>
          </w:tcPr>
          <w:p w14:paraId="30C9F2C9"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4E73DC0A"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4DCD4F5D" w14:textId="77777777" w:rsidR="00A20361" w:rsidRPr="00DE6C9E" w:rsidRDefault="00A20361" w:rsidP="0048210B">
            <w:pPr>
              <w:jc w:val="center"/>
              <w:rPr>
                <w:sz w:val="20"/>
                <w:szCs w:val="20"/>
              </w:rPr>
            </w:pPr>
            <w:r w:rsidRPr="00DE6C9E">
              <w:rPr>
                <w:sz w:val="20"/>
                <w:szCs w:val="20"/>
              </w:rPr>
              <w:t>(0.016)</w:t>
            </w:r>
          </w:p>
        </w:tc>
        <w:tc>
          <w:tcPr>
            <w:tcW w:w="1302" w:type="dxa"/>
            <w:tcBorders>
              <w:top w:val="nil"/>
              <w:left w:val="nil"/>
              <w:bottom w:val="nil"/>
              <w:right w:val="nil"/>
            </w:tcBorders>
            <w:shd w:val="clear" w:color="auto" w:fill="auto"/>
            <w:noWrap/>
            <w:vAlign w:val="bottom"/>
            <w:hideMark/>
          </w:tcPr>
          <w:p w14:paraId="586A738F" w14:textId="77777777" w:rsidR="00A20361" w:rsidRPr="00DE6C9E" w:rsidRDefault="00A20361" w:rsidP="0048210B">
            <w:pPr>
              <w:jc w:val="center"/>
              <w:rPr>
                <w:sz w:val="20"/>
                <w:szCs w:val="20"/>
              </w:rPr>
            </w:pPr>
            <w:r w:rsidRPr="00DE6C9E">
              <w:rPr>
                <w:sz w:val="20"/>
                <w:szCs w:val="20"/>
              </w:rPr>
              <w:t>(0.015)</w:t>
            </w:r>
          </w:p>
        </w:tc>
        <w:tc>
          <w:tcPr>
            <w:tcW w:w="1302" w:type="dxa"/>
            <w:tcBorders>
              <w:top w:val="nil"/>
              <w:left w:val="nil"/>
              <w:bottom w:val="nil"/>
              <w:right w:val="nil"/>
            </w:tcBorders>
            <w:shd w:val="clear" w:color="auto" w:fill="auto"/>
            <w:noWrap/>
            <w:vAlign w:val="bottom"/>
            <w:hideMark/>
          </w:tcPr>
          <w:p w14:paraId="06E00773" w14:textId="77777777" w:rsidR="00A20361" w:rsidRPr="00DE6C9E" w:rsidRDefault="00A20361" w:rsidP="0048210B">
            <w:pPr>
              <w:jc w:val="center"/>
              <w:rPr>
                <w:sz w:val="20"/>
                <w:szCs w:val="20"/>
              </w:rPr>
            </w:pPr>
            <w:r w:rsidRPr="00DE6C9E">
              <w:rPr>
                <w:sz w:val="20"/>
                <w:szCs w:val="20"/>
              </w:rPr>
              <w:t>(0.014)</w:t>
            </w:r>
          </w:p>
        </w:tc>
      </w:tr>
      <w:tr w:rsidR="00A20361" w:rsidRPr="005B294B" w14:paraId="1418896E"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6A6CC230" w14:textId="77777777" w:rsidR="00A20361" w:rsidRPr="00DE6C9E" w:rsidRDefault="00A20361" w:rsidP="0048210B">
            <w:pPr>
              <w:rPr>
                <w:sz w:val="20"/>
                <w:szCs w:val="20"/>
              </w:rPr>
            </w:pPr>
            <w:r w:rsidRPr="00DE6C9E">
              <w:rPr>
                <w:sz w:val="20"/>
                <w:szCs w:val="20"/>
              </w:rPr>
              <w:t>Female Share</w:t>
            </w:r>
          </w:p>
        </w:tc>
        <w:tc>
          <w:tcPr>
            <w:tcW w:w="1035" w:type="dxa"/>
            <w:tcBorders>
              <w:top w:val="nil"/>
              <w:left w:val="nil"/>
              <w:bottom w:val="nil"/>
              <w:right w:val="nil"/>
            </w:tcBorders>
            <w:shd w:val="clear" w:color="auto" w:fill="auto"/>
            <w:noWrap/>
            <w:vAlign w:val="bottom"/>
            <w:hideMark/>
          </w:tcPr>
          <w:p w14:paraId="6962A1AC" w14:textId="77777777" w:rsidR="00A20361" w:rsidRPr="00DE6C9E"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07E13574"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65CC612E" w14:textId="77777777" w:rsidR="00A20361" w:rsidRPr="00DE6C9E" w:rsidRDefault="00A20361" w:rsidP="0048210B">
            <w:pPr>
              <w:jc w:val="center"/>
              <w:rPr>
                <w:sz w:val="20"/>
                <w:szCs w:val="20"/>
              </w:rPr>
            </w:pPr>
            <w:r w:rsidRPr="00DE6C9E">
              <w:rPr>
                <w:sz w:val="20"/>
                <w:szCs w:val="20"/>
              </w:rPr>
              <w:t>-0.056**</w:t>
            </w:r>
          </w:p>
        </w:tc>
        <w:tc>
          <w:tcPr>
            <w:tcW w:w="1302" w:type="dxa"/>
            <w:tcBorders>
              <w:top w:val="nil"/>
              <w:left w:val="nil"/>
              <w:bottom w:val="nil"/>
              <w:right w:val="nil"/>
            </w:tcBorders>
            <w:shd w:val="clear" w:color="auto" w:fill="auto"/>
            <w:noWrap/>
            <w:vAlign w:val="bottom"/>
            <w:hideMark/>
          </w:tcPr>
          <w:p w14:paraId="6CB90AD5" w14:textId="77777777" w:rsidR="00A20361" w:rsidRPr="00DE6C9E" w:rsidRDefault="00A20361" w:rsidP="0048210B">
            <w:pPr>
              <w:jc w:val="center"/>
              <w:rPr>
                <w:sz w:val="20"/>
                <w:szCs w:val="20"/>
              </w:rPr>
            </w:pPr>
            <w:r w:rsidRPr="00DE6C9E">
              <w:rPr>
                <w:sz w:val="20"/>
                <w:szCs w:val="20"/>
              </w:rPr>
              <w:t>-0.030</w:t>
            </w:r>
          </w:p>
        </w:tc>
        <w:tc>
          <w:tcPr>
            <w:tcW w:w="1302" w:type="dxa"/>
            <w:tcBorders>
              <w:top w:val="nil"/>
              <w:left w:val="nil"/>
              <w:bottom w:val="nil"/>
              <w:right w:val="nil"/>
            </w:tcBorders>
            <w:shd w:val="clear" w:color="auto" w:fill="auto"/>
            <w:noWrap/>
            <w:vAlign w:val="bottom"/>
            <w:hideMark/>
          </w:tcPr>
          <w:p w14:paraId="11E18784" w14:textId="77777777" w:rsidR="00A20361" w:rsidRPr="00DE6C9E" w:rsidRDefault="00A20361" w:rsidP="0048210B">
            <w:pPr>
              <w:jc w:val="center"/>
              <w:rPr>
                <w:sz w:val="20"/>
                <w:szCs w:val="20"/>
              </w:rPr>
            </w:pPr>
            <w:r w:rsidRPr="00DE6C9E">
              <w:rPr>
                <w:sz w:val="20"/>
                <w:szCs w:val="20"/>
              </w:rPr>
              <w:t>-0.027</w:t>
            </w:r>
          </w:p>
        </w:tc>
      </w:tr>
      <w:tr w:rsidR="00A20361" w:rsidRPr="005B294B" w14:paraId="20E22B5B"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0C5CF677" w14:textId="77777777" w:rsidR="00A20361" w:rsidRPr="00DE6C9E" w:rsidRDefault="00A20361" w:rsidP="0048210B">
            <w:pPr>
              <w:jc w:val="right"/>
              <w:rPr>
                <w:sz w:val="20"/>
                <w:szCs w:val="20"/>
              </w:rPr>
            </w:pPr>
          </w:p>
        </w:tc>
        <w:tc>
          <w:tcPr>
            <w:tcW w:w="1035" w:type="dxa"/>
            <w:tcBorders>
              <w:top w:val="nil"/>
              <w:left w:val="nil"/>
              <w:bottom w:val="nil"/>
              <w:right w:val="nil"/>
            </w:tcBorders>
            <w:shd w:val="clear" w:color="auto" w:fill="auto"/>
            <w:noWrap/>
            <w:vAlign w:val="bottom"/>
            <w:hideMark/>
          </w:tcPr>
          <w:p w14:paraId="6567DADE"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5C4453DC"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4451F743" w14:textId="77777777" w:rsidR="00A20361" w:rsidRPr="00DE6C9E" w:rsidRDefault="00A20361" w:rsidP="0048210B">
            <w:pPr>
              <w:jc w:val="center"/>
              <w:rPr>
                <w:sz w:val="20"/>
                <w:szCs w:val="20"/>
              </w:rPr>
            </w:pPr>
            <w:r w:rsidRPr="00DE6C9E">
              <w:rPr>
                <w:sz w:val="20"/>
                <w:szCs w:val="20"/>
              </w:rPr>
              <w:t>(0.016)</w:t>
            </w:r>
          </w:p>
        </w:tc>
        <w:tc>
          <w:tcPr>
            <w:tcW w:w="1302" w:type="dxa"/>
            <w:tcBorders>
              <w:top w:val="nil"/>
              <w:left w:val="nil"/>
              <w:bottom w:val="nil"/>
              <w:right w:val="nil"/>
            </w:tcBorders>
            <w:shd w:val="clear" w:color="auto" w:fill="auto"/>
            <w:noWrap/>
            <w:vAlign w:val="bottom"/>
            <w:hideMark/>
          </w:tcPr>
          <w:p w14:paraId="1787A51A" w14:textId="77777777" w:rsidR="00A20361" w:rsidRPr="00DE6C9E" w:rsidRDefault="00A20361" w:rsidP="0048210B">
            <w:pPr>
              <w:jc w:val="center"/>
              <w:rPr>
                <w:sz w:val="20"/>
                <w:szCs w:val="20"/>
              </w:rPr>
            </w:pPr>
            <w:r w:rsidRPr="00DE6C9E">
              <w:rPr>
                <w:sz w:val="20"/>
                <w:szCs w:val="20"/>
              </w:rPr>
              <w:t>(0.023)</w:t>
            </w:r>
          </w:p>
        </w:tc>
        <w:tc>
          <w:tcPr>
            <w:tcW w:w="1302" w:type="dxa"/>
            <w:tcBorders>
              <w:top w:val="nil"/>
              <w:left w:val="nil"/>
              <w:bottom w:val="nil"/>
              <w:right w:val="nil"/>
            </w:tcBorders>
            <w:shd w:val="clear" w:color="auto" w:fill="auto"/>
            <w:noWrap/>
            <w:vAlign w:val="bottom"/>
            <w:hideMark/>
          </w:tcPr>
          <w:p w14:paraId="49D58F2A" w14:textId="77777777" w:rsidR="00A20361" w:rsidRPr="00DE6C9E" w:rsidRDefault="00A20361" w:rsidP="0048210B">
            <w:pPr>
              <w:jc w:val="center"/>
              <w:rPr>
                <w:sz w:val="20"/>
                <w:szCs w:val="20"/>
              </w:rPr>
            </w:pPr>
            <w:r w:rsidRPr="00DE6C9E">
              <w:rPr>
                <w:sz w:val="20"/>
                <w:szCs w:val="20"/>
              </w:rPr>
              <w:t>(0.022)</w:t>
            </w:r>
          </w:p>
        </w:tc>
      </w:tr>
      <w:tr w:rsidR="00A20361" w:rsidRPr="005B294B" w14:paraId="3A2B5791"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1FA60785" w14:textId="77777777" w:rsidR="00A20361" w:rsidRPr="00DE6C9E" w:rsidRDefault="00A20361" w:rsidP="0048210B">
            <w:pPr>
              <w:rPr>
                <w:sz w:val="20"/>
                <w:szCs w:val="20"/>
              </w:rPr>
            </w:pPr>
            <w:r w:rsidRPr="00DE6C9E">
              <w:rPr>
                <w:sz w:val="20"/>
                <w:szCs w:val="20"/>
              </w:rPr>
              <w:t>Elderly (&gt;65) Share</w:t>
            </w:r>
          </w:p>
        </w:tc>
        <w:tc>
          <w:tcPr>
            <w:tcW w:w="1035" w:type="dxa"/>
            <w:tcBorders>
              <w:top w:val="nil"/>
              <w:left w:val="nil"/>
              <w:bottom w:val="nil"/>
              <w:right w:val="nil"/>
            </w:tcBorders>
            <w:shd w:val="clear" w:color="auto" w:fill="auto"/>
            <w:noWrap/>
            <w:vAlign w:val="bottom"/>
            <w:hideMark/>
          </w:tcPr>
          <w:p w14:paraId="3F7B3B67" w14:textId="77777777" w:rsidR="00A20361" w:rsidRPr="00DE6C9E"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75A2C032"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7FB43FF0" w14:textId="77777777" w:rsidR="00A20361" w:rsidRPr="00DE6C9E" w:rsidRDefault="00A20361" w:rsidP="0048210B">
            <w:pPr>
              <w:jc w:val="center"/>
              <w:rPr>
                <w:sz w:val="20"/>
                <w:szCs w:val="20"/>
              </w:rPr>
            </w:pPr>
            <w:r w:rsidRPr="00DE6C9E">
              <w:rPr>
                <w:sz w:val="20"/>
                <w:szCs w:val="20"/>
              </w:rPr>
              <w:t>4.405*</w:t>
            </w:r>
          </w:p>
        </w:tc>
        <w:tc>
          <w:tcPr>
            <w:tcW w:w="1302" w:type="dxa"/>
            <w:tcBorders>
              <w:top w:val="nil"/>
              <w:left w:val="nil"/>
              <w:bottom w:val="nil"/>
              <w:right w:val="nil"/>
            </w:tcBorders>
            <w:shd w:val="clear" w:color="auto" w:fill="auto"/>
            <w:noWrap/>
            <w:vAlign w:val="bottom"/>
            <w:hideMark/>
          </w:tcPr>
          <w:p w14:paraId="4105CB1B" w14:textId="77777777" w:rsidR="00A20361" w:rsidRPr="00DE6C9E" w:rsidRDefault="00A20361" w:rsidP="0048210B">
            <w:pPr>
              <w:jc w:val="center"/>
              <w:rPr>
                <w:sz w:val="20"/>
                <w:szCs w:val="20"/>
              </w:rPr>
            </w:pPr>
            <w:r w:rsidRPr="00DE6C9E">
              <w:rPr>
                <w:sz w:val="20"/>
                <w:szCs w:val="20"/>
              </w:rPr>
              <w:t>3.981*</w:t>
            </w:r>
          </w:p>
        </w:tc>
        <w:tc>
          <w:tcPr>
            <w:tcW w:w="1302" w:type="dxa"/>
            <w:tcBorders>
              <w:top w:val="nil"/>
              <w:left w:val="nil"/>
              <w:bottom w:val="nil"/>
              <w:right w:val="nil"/>
            </w:tcBorders>
            <w:shd w:val="clear" w:color="auto" w:fill="auto"/>
            <w:noWrap/>
            <w:vAlign w:val="bottom"/>
            <w:hideMark/>
          </w:tcPr>
          <w:p w14:paraId="164D9A76" w14:textId="77777777" w:rsidR="00A20361" w:rsidRPr="00DE6C9E" w:rsidRDefault="00A20361" w:rsidP="0048210B">
            <w:pPr>
              <w:jc w:val="center"/>
              <w:rPr>
                <w:sz w:val="20"/>
                <w:szCs w:val="20"/>
              </w:rPr>
            </w:pPr>
            <w:r w:rsidRPr="00DE6C9E">
              <w:rPr>
                <w:sz w:val="20"/>
                <w:szCs w:val="20"/>
              </w:rPr>
              <w:t>3.250</w:t>
            </w:r>
          </w:p>
        </w:tc>
      </w:tr>
      <w:tr w:rsidR="00A20361" w:rsidRPr="005B294B" w14:paraId="5E274C51"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2BCB2015" w14:textId="77777777" w:rsidR="00A20361" w:rsidRPr="00DE6C9E" w:rsidRDefault="00A20361" w:rsidP="0048210B">
            <w:pPr>
              <w:jc w:val="right"/>
              <w:rPr>
                <w:sz w:val="20"/>
                <w:szCs w:val="20"/>
              </w:rPr>
            </w:pPr>
          </w:p>
        </w:tc>
        <w:tc>
          <w:tcPr>
            <w:tcW w:w="1035" w:type="dxa"/>
            <w:tcBorders>
              <w:top w:val="nil"/>
              <w:left w:val="nil"/>
              <w:bottom w:val="nil"/>
              <w:right w:val="nil"/>
            </w:tcBorders>
            <w:shd w:val="clear" w:color="auto" w:fill="auto"/>
            <w:noWrap/>
            <w:vAlign w:val="bottom"/>
            <w:hideMark/>
          </w:tcPr>
          <w:p w14:paraId="2A9A8745"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05441A0B"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20A7BF69" w14:textId="77777777" w:rsidR="00A20361" w:rsidRPr="00DE6C9E" w:rsidRDefault="00A20361" w:rsidP="0048210B">
            <w:pPr>
              <w:jc w:val="center"/>
              <w:rPr>
                <w:sz w:val="20"/>
                <w:szCs w:val="20"/>
              </w:rPr>
            </w:pPr>
            <w:r w:rsidRPr="00DE6C9E">
              <w:rPr>
                <w:sz w:val="20"/>
                <w:szCs w:val="20"/>
              </w:rPr>
              <w:t>(1.895)</w:t>
            </w:r>
          </w:p>
        </w:tc>
        <w:tc>
          <w:tcPr>
            <w:tcW w:w="1302" w:type="dxa"/>
            <w:tcBorders>
              <w:top w:val="nil"/>
              <w:left w:val="nil"/>
              <w:bottom w:val="nil"/>
              <w:right w:val="nil"/>
            </w:tcBorders>
            <w:shd w:val="clear" w:color="auto" w:fill="auto"/>
            <w:noWrap/>
            <w:vAlign w:val="bottom"/>
            <w:hideMark/>
          </w:tcPr>
          <w:p w14:paraId="5E66E773" w14:textId="77777777" w:rsidR="00A20361" w:rsidRPr="00DE6C9E" w:rsidRDefault="00A20361" w:rsidP="0048210B">
            <w:pPr>
              <w:jc w:val="center"/>
              <w:rPr>
                <w:sz w:val="20"/>
                <w:szCs w:val="20"/>
              </w:rPr>
            </w:pPr>
            <w:r w:rsidRPr="00DE6C9E">
              <w:rPr>
                <w:sz w:val="20"/>
                <w:szCs w:val="20"/>
              </w:rPr>
              <w:t>(1.898)</w:t>
            </w:r>
          </w:p>
        </w:tc>
        <w:tc>
          <w:tcPr>
            <w:tcW w:w="1302" w:type="dxa"/>
            <w:tcBorders>
              <w:top w:val="nil"/>
              <w:left w:val="nil"/>
              <w:bottom w:val="nil"/>
              <w:right w:val="nil"/>
            </w:tcBorders>
            <w:shd w:val="clear" w:color="auto" w:fill="auto"/>
            <w:noWrap/>
            <w:vAlign w:val="bottom"/>
            <w:hideMark/>
          </w:tcPr>
          <w:p w14:paraId="2CCA0B7C" w14:textId="77777777" w:rsidR="00A20361" w:rsidRPr="00DE6C9E" w:rsidRDefault="00A20361" w:rsidP="0048210B">
            <w:pPr>
              <w:jc w:val="center"/>
              <w:rPr>
                <w:sz w:val="20"/>
                <w:szCs w:val="20"/>
              </w:rPr>
            </w:pPr>
            <w:r w:rsidRPr="00DE6C9E">
              <w:rPr>
                <w:sz w:val="20"/>
                <w:szCs w:val="20"/>
              </w:rPr>
              <w:t>(1.710)</w:t>
            </w:r>
          </w:p>
        </w:tc>
      </w:tr>
      <w:tr w:rsidR="00A20361" w:rsidRPr="005B294B" w14:paraId="1D6D0A5F"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24A7A914" w14:textId="77777777" w:rsidR="00A20361" w:rsidRPr="00DE6C9E" w:rsidRDefault="00A20361" w:rsidP="0048210B">
            <w:pPr>
              <w:rPr>
                <w:sz w:val="20"/>
                <w:szCs w:val="20"/>
              </w:rPr>
            </w:pPr>
            <w:r w:rsidRPr="00DE6C9E">
              <w:rPr>
                <w:sz w:val="20"/>
                <w:szCs w:val="20"/>
              </w:rPr>
              <w:t>Young (4-18) Share</w:t>
            </w:r>
          </w:p>
        </w:tc>
        <w:tc>
          <w:tcPr>
            <w:tcW w:w="1035" w:type="dxa"/>
            <w:tcBorders>
              <w:top w:val="nil"/>
              <w:left w:val="nil"/>
              <w:bottom w:val="nil"/>
              <w:right w:val="nil"/>
            </w:tcBorders>
            <w:shd w:val="clear" w:color="auto" w:fill="auto"/>
            <w:noWrap/>
            <w:vAlign w:val="bottom"/>
            <w:hideMark/>
          </w:tcPr>
          <w:p w14:paraId="4F0E1C16" w14:textId="77777777" w:rsidR="00A20361" w:rsidRPr="00DE6C9E"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6B585E31"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382274B6" w14:textId="77777777" w:rsidR="00A20361" w:rsidRPr="00DE6C9E" w:rsidRDefault="00A20361" w:rsidP="0048210B">
            <w:pPr>
              <w:jc w:val="center"/>
              <w:rPr>
                <w:sz w:val="20"/>
                <w:szCs w:val="20"/>
              </w:rPr>
            </w:pPr>
            <w:r w:rsidRPr="00DE6C9E">
              <w:rPr>
                <w:sz w:val="20"/>
                <w:szCs w:val="20"/>
              </w:rPr>
              <w:t>20.340**</w:t>
            </w:r>
          </w:p>
        </w:tc>
        <w:tc>
          <w:tcPr>
            <w:tcW w:w="1302" w:type="dxa"/>
            <w:tcBorders>
              <w:top w:val="nil"/>
              <w:left w:val="nil"/>
              <w:bottom w:val="nil"/>
              <w:right w:val="nil"/>
            </w:tcBorders>
            <w:shd w:val="clear" w:color="auto" w:fill="auto"/>
            <w:noWrap/>
            <w:vAlign w:val="bottom"/>
            <w:hideMark/>
          </w:tcPr>
          <w:p w14:paraId="1CE44E26" w14:textId="77777777" w:rsidR="00A20361" w:rsidRPr="00DE6C9E" w:rsidRDefault="00A20361" w:rsidP="0048210B">
            <w:pPr>
              <w:jc w:val="center"/>
              <w:rPr>
                <w:sz w:val="20"/>
                <w:szCs w:val="20"/>
              </w:rPr>
            </w:pPr>
            <w:r w:rsidRPr="00DE6C9E">
              <w:rPr>
                <w:sz w:val="20"/>
                <w:szCs w:val="20"/>
              </w:rPr>
              <w:t>20.300**</w:t>
            </w:r>
          </w:p>
        </w:tc>
        <w:tc>
          <w:tcPr>
            <w:tcW w:w="1302" w:type="dxa"/>
            <w:tcBorders>
              <w:top w:val="nil"/>
              <w:left w:val="nil"/>
              <w:bottom w:val="nil"/>
              <w:right w:val="nil"/>
            </w:tcBorders>
            <w:shd w:val="clear" w:color="auto" w:fill="auto"/>
            <w:noWrap/>
            <w:vAlign w:val="bottom"/>
            <w:hideMark/>
          </w:tcPr>
          <w:p w14:paraId="7D96CE16" w14:textId="77777777" w:rsidR="00A20361" w:rsidRPr="00DE6C9E" w:rsidRDefault="00A20361" w:rsidP="0048210B">
            <w:pPr>
              <w:jc w:val="center"/>
              <w:rPr>
                <w:sz w:val="20"/>
                <w:szCs w:val="20"/>
              </w:rPr>
            </w:pPr>
            <w:r w:rsidRPr="00DE6C9E">
              <w:rPr>
                <w:sz w:val="20"/>
                <w:szCs w:val="20"/>
              </w:rPr>
              <w:t>19.009***</w:t>
            </w:r>
          </w:p>
        </w:tc>
      </w:tr>
      <w:tr w:rsidR="00A20361" w:rsidRPr="005B294B" w14:paraId="4A0D5C1D"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7B339308" w14:textId="77777777" w:rsidR="00A20361" w:rsidRPr="00DE6C9E" w:rsidRDefault="00A20361" w:rsidP="0048210B">
            <w:pPr>
              <w:rPr>
                <w:sz w:val="20"/>
                <w:szCs w:val="20"/>
              </w:rPr>
            </w:pPr>
          </w:p>
        </w:tc>
        <w:tc>
          <w:tcPr>
            <w:tcW w:w="1035" w:type="dxa"/>
            <w:tcBorders>
              <w:top w:val="nil"/>
              <w:left w:val="nil"/>
              <w:bottom w:val="nil"/>
              <w:right w:val="nil"/>
            </w:tcBorders>
            <w:shd w:val="clear" w:color="auto" w:fill="auto"/>
            <w:noWrap/>
            <w:vAlign w:val="bottom"/>
            <w:hideMark/>
          </w:tcPr>
          <w:p w14:paraId="049CA6C6"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08B6BFFE" w14:textId="77777777" w:rsidR="00A20361" w:rsidRPr="00DE6C9E"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65F02061" w14:textId="77777777" w:rsidR="00A20361" w:rsidRPr="00DE6C9E" w:rsidRDefault="00A20361" w:rsidP="0048210B">
            <w:pPr>
              <w:jc w:val="center"/>
              <w:rPr>
                <w:sz w:val="20"/>
                <w:szCs w:val="20"/>
              </w:rPr>
            </w:pPr>
            <w:r w:rsidRPr="00DE6C9E">
              <w:rPr>
                <w:sz w:val="20"/>
                <w:szCs w:val="20"/>
              </w:rPr>
              <w:t>(5.918)</w:t>
            </w:r>
          </w:p>
        </w:tc>
        <w:tc>
          <w:tcPr>
            <w:tcW w:w="1302" w:type="dxa"/>
            <w:tcBorders>
              <w:top w:val="nil"/>
              <w:left w:val="nil"/>
              <w:bottom w:val="nil"/>
              <w:right w:val="nil"/>
            </w:tcBorders>
            <w:shd w:val="clear" w:color="auto" w:fill="auto"/>
            <w:noWrap/>
            <w:vAlign w:val="bottom"/>
            <w:hideMark/>
          </w:tcPr>
          <w:p w14:paraId="4817106A" w14:textId="77777777" w:rsidR="00A20361" w:rsidRPr="00DE6C9E" w:rsidRDefault="00A20361" w:rsidP="0048210B">
            <w:pPr>
              <w:jc w:val="center"/>
              <w:rPr>
                <w:sz w:val="20"/>
                <w:szCs w:val="20"/>
              </w:rPr>
            </w:pPr>
            <w:r w:rsidRPr="00DE6C9E">
              <w:rPr>
                <w:sz w:val="20"/>
                <w:szCs w:val="20"/>
              </w:rPr>
              <w:t>(5.935)</w:t>
            </w:r>
          </w:p>
        </w:tc>
        <w:tc>
          <w:tcPr>
            <w:tcW w:w="1302" w:type="dxa"/>
            <w:tcBorders>
              <w:top w:val="nil"/>
              <w:left w:val="nil"/>
              <w:bottom w:val="nil"/>
              <w:right w:val="nil"/>
            </w:tcBorders>
            <w:shd w:val="clear" w:color="auto" w:fill="auto"/>
            <w:noWrap/>
            <w:vAlign w:val="bottom"/>
            <w:hideMark/>
          </w:tcPr>
          <w:p w14:paraId="37DD90EB" w14:textId="77777777" w:rsidR="00A20361" w:rsidRPr="00DE6C9E" w:rsidRDefault="00A20361" w:rsidP="0048210B">
            <w:pPr>
              <w:jc w:val="center"/>
              <w:rPr>
                <w:sz w:val="20"/>
                <w:szCs w:val="20"/>
              </w:rPr>
            </w:pPr>
            <w:r w:rsidRPr="00DE6C9E">
              <w:rPr>
                <w:sz w:val="20"/>
                <w:szCs w:val="20"/>
              </w:rPr>
              <w:t>(5.553)</w:t>
            </w:r>
          </w:p>
        </w:tc>
      </w:tr>
      <w:tr w:rsidR="00A20361" w:rsidRPr="005B294B" w14:paraId="657FB96E"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7D93AF14" w14:textId="77777777" w:rsidR="00A20361" w:rsidRPr="00DE6C9E" w:rsidRDefault="00A20361" w:rsidP="0048210B">
            <w:pPr>
              <w:rPr>
                <w:sz w:val="20"/>
                <w:szCs w:val="20"/>
              </w:rPr>
            </w:pPr>
            <w:r w:rsidRPr="00DE6C9E">
              <w:rPr>
                <w:sz w:val="20"/>
                <w:szCs w:val="20"/>
              </w:rPr>
              <w:t>Hispanic Share</w:t>
            </w:r>
          </w:p>
        </w:tc>
        <w:tc>
          <w:tcPr>
            <w:tcW w:w="1035" w:type="dxa"/>
            <w:tcBorders>
              <w:top w:val="nil"/>
              <w:left w:val="nil"/>
              <w:bottom w:val="nil"/>
              <w:right w:val="nil"/>
            </w:tcBorders>
            <w:shd w:val="clear" w:color="auto" w:fill="auto"/>
            <w:noWrap/>
            <w:vAlign w:val="bottom"/>
            <w:hideMark/>
          </w:tcPr>
          <w:p w14:paraId="25B09DB6" w14:textId="77777777" w:rsidR="00A20361" w:rsidRPr="00DE6C9E"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039F03F2"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06671091" w14:textId="77777777" w:rsidR="00A20361" w:rsidRPr="00DE6C9E" w:rsidRDefault="00A20361" w:rsidP="0048210B">
            <w:pPr>
              <w:jc w:val="center"/>
              <w:rPr>
                <w:sz w:val="20"/>
                <w:szCs w:val="20"/>
              </w:rPr>
            </w:pPr>
            <w:r w:rsidRPr="00DE6C9E">
              <w:rPr>
                <w:sz w:val="20"/>
                <w:szCs w:val="20"/>
              </w:rPr>
              <w:t>-2.466*</w:t>
            </w:r>
          </w:p>
        </w:tc>
        <w:tc>
          <w:tcPr>
            <w:tcW w:w="1302" w:type="dxa"/>
            <w:tcBorders>
              <w:top w:val="nil"/>
              <w:left w:val="nil"/>
              <w:bottom w:val="nil"/>
              <w:right w:val="nil"/>
            </w:tcBorders>
            <w:shd w:val="clear" w:color="auto" w:fill="auto"/>
            <w:noWrap/>
            <w:vAlign w:val="bottom"/>
            <w:hideMark/>
          </w:tcPr>
          <w:p w14:paraId="3AF34040" w14:textId="77777777" w:rsidR="00A20361" w:rsidRPr="00DE6C9E" w:rsidRDefault="00A20361" w:rsidP="0048210B">
            <w:pPr>
              <w:jc w:val="center"/>
              <w:rPr>
                <w:sz w:val="20"/>
                <w:szCs w:val="20"/>
              </w:rPr>
            </w:pPr>
            <w:r w:rsidRPr="00DE6C9E">
              <w:rPr>
                <w:sz w:val="20"/>
                <w:szCs w:val="20"/>
              </w:rPr>
              <w:t>-2.958*</w:t>
            </w:r>
          </w:p>
        </w:tc>
        <w:tc>
          <w:tcPr>
            <w:tcW w:w="1302" w:type="dxa"/>
            <w:tcBorders>
              <w:top w:val="nil"/>
              <w:left w:val="nil"/>
              <w:bottom w:val="nil"/>
              <w:right w:val="nil"/>
            </w:tcBorders>
            <w:shd w:val="clear" w:color="auto" w:fill="auto"/>
            <w:noWrap/>
            <w:vAlign w:val="bottom"/>
            <w:hideMark/>
          </w:tcPr>
          <w:p w14:paraId="20F4AC39" w14:textId="77777777" w:rsidR="00A20361" w:rsidRPr="00DE6C9E" w:rsidRDefault="00A20361" w:rsidP="0048210B">
            <w:pPr>
              <w:jc w:val="center"/>
              <w:rPr>
                <w:sz w:val="20"/>
                <w:szCs w:val="20"/>
              </w:rPr>
            </w:pPr>
            <w:r w:rsidRPr="00DE6C9E">
              <w:rPr>
                <w:sz w:val="20"/>
                <w:szCs w:val="20"/>
              </w:rPr>
              <w:t>-2.774**</w:t>
            </w:r>
          </w:p>
        </w:tc>
      </w:tr>
      <w:tr w:rsidR="00A20361" w:rsidRPr="005B294B" w14:paraId="4E630A66"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6FF9B009" w14:textId="77777777" w:rsidR="00A20361" w:rsidRPr="00DE6C9E" w:rsidRDefault="00A20361" w:rsidP="0048210B">
            <w:pPr>
              <w:rPr>
                <w:sz w:val="20"/>
                <w:szCs w:val="20"/>
              </w:rPr>
            </w:pPr>
          </w:p>
        </w:tc>
        <w:tc>
          <w:tcPr>
            <w:tcW w:w="1035" w:type="dxa"/>
            <w:tcBorders>
              <w:top w:val="nil"/>
              <w:left w:val="nil"/>
              <w:bottom w:val="nil"/>
              <w:right w:val="nil"/>
            </w:tcBorders>
            <w:shd w:val="clear" w:color="auto" w:fill="auto"/>
            <w:noWrap/>
            <w:vAlign w:val="bottom"/>
            <w:hideMark/>
          </w:tcPr>
          <w:p w14:paraId="58E34BDE"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22E27491"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649EAE3F" w14:textId="77777777" w:rsidR="00A20361" w:rsidRPr="00DE6C9E" w:rsidRDefault="00A20361" w:rsidP="0048210B">
            <w:pPr>
              <w:jc w:val="center"/>
              <w:rPr>
                <w:sz w:val="20"/>
                <w:szCs w:val="20"/>
              </w:rPr>
            </w:pPr>
            <w:r w:rsidRPr="00DE6C9E">
              <w:rPr>
                <w:sz w:val="20"/>
                <w:szCs w:val="20"/>
              </w:rPr>
              <w:t>(1.191)</w:t>
            </w:r>
          </w:p>
        </w:tc>
        <w:tc>
          <w:tcPr>
            <w:tcW w:w="1302" w:type="dxa"/>
            <w:tcBorders>
              <w:top w:val="nil"/>
              <w:left w:val="nil"/>
              <w:bottom w:val="nil"/>
              <w:right w:val="nil"/>
            </w:tcBorders>
            <w:shd w:val="clear" w:color="auto" w:fill="auto"/>
            <w:noWrap/>
            <w:vAlign w:val="bottom"/>
            <w:hideMark/>
          </w:tcPr>
          <w:p w14:paraId="368FA358" w14:textId="77777777" w:rsidR="00A20361" w:rsidRPr="00DE6C9E" w:rsidRDefault="00A20361" w:rsidP="0048210B">
            <w:pPr>
              <w:jc w:val="center"/>
              <w:rPr>
                <w:sz w:val="20"/>
                <w:szCs w:val="20"/>
              </w:rPr>
            </w:pPr>
            <w:r w:rsidRPr="00DE6C9E">
              <w:rPr>
                <w:sz w:val="20"/>
                <w:szCs w:val="20"/>
              </w:rPr>
              <w:t>(1.115)</w:t>
            </w:r>
          </w:p>
        </w:tc>
        <w:tc>
          <w:tcPr>
            <w:tcW w:w="1302" w:type="dxa"/>
            <w:tcBorders>
              <w:top w:val="nil"/>
              <w:left w:val="nil"/>
              <w:bottom w:val="nil"/>
              <w:right w:val="nil"/>
            </w:tcBorders>
            <w:shd w:val="clear" w:color="auto" w:fill="auto"/>
            <w:noWrap/>
            <w:vAlign w:val="bottom"/>
            <w:hideMark/>
          </w:tcPr>
          <w:p w14:paraId="3F7A357E" w14:textId="77777777" w:rsidR="00A20361" w:rsidRPr="00DE6C9E" w:rsidRDefault="00A20361" w:rsidP="0048210B">
            <w:pPr>
              <w:jc w:val="center"/>
              <w:rPr>
                <w:sz w:val="20"/>
                <w:szCs w:val="20"/>
              </w:rPr>
            </w:pPr>
            <w:r w:rsidRPr="00DE6C9E">
              <w:rPr>
                <w:sz w:val="20"/>
                <w:szCs w:val="20"/>
              </w:rPr>
              <w:t>(1.036)</w:t>
            </w:r>
          </w:p>
        </w:tc>
      </w:tr>
      <w:tr w:rsidR="00A20361" w:rsidRPr="005B294B" w14:paraId="3AC7A323"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4892CCE9" w14:textId="77777777" w:rsidR="00A20361" w:rsidRPr="00DE6C9E" w:rsidRDefault="00A20361" w:rsidP="0048210B">
            <w:pPr>
              <w:rPr>
                <w:sz w:val="20"/>
                <w:szCs w:val="20"/>
              </w:rPr>
            </w:pPr>
            <w:r w:rsidRPr="00DE6C9E">
              <w:rPr>
                <w:sz w:val="20"/>
                <w:szCs w:val="20"/>
              </w:rPr>
              <w:t>Black Share</w:t>
            </w:r>
          </w:p>
        </w:tc>
        <w:tc>
          <w:tcPr>
            <w:tcW w:w="1035" w:type="dxa"/>
            <w:tcBorders>
              <w:top w:val="nil"/>
              <w:left w:val="nil"/>
              <w:bottom w:val="nil"/>
              <w:right w:val="nil"/>
            </w:tcBorders>
            <w:shd w:val="clear" w:color="auto" w:fill="auto"/>
            <w:noWrap/>
            <w:vAlign w:val="bottom"/>
            <w:hideMark/>
          </w:tcPr>
          <w:p w14:paraId="42CBE907" w14:textId="77777777" w:rsidR="00A20361" w:rsidRPr="00DE6C9E"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23B777FA"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508281C5" w14:textId="77777777" w:rsidR="00A20361" w:rsidRPr="005B294B" w:rsidRDefault="00A20361" w:rsidP="0048210B">
            <w:pPr>
              <w:jc w:val="center"/>
              <w:rPr>
                <w:sz w:val="20"/>
                <w:szCs w:val="20"/>
              </w:rPr>
            </w:pPr>
            <w:r w:rsidRPr="00DE6C9E">
              <w:rPr>
                <w:sz w:val="20"/>
                <w:szCs w:val="20"/>
              </w:rPr>
              <w:t>-1.192</w:t>
            </w:r>
          </w:p>
        </w:tc>
        <w:tc>
          <w:tcPr>
            <w:tcW w:w="1302" w:type="dxa"/>
            <w:tcBorders>
              <w:top w:val="nil"/>
              <w:left w:val="nil"/>
              <w:bottom w:val="nil"/>
              <w:right w:val="nil"/>
            </w:tcBorders>
            <w:shd w:val="clear" w:color="auto" w:fill="auto"/>
            <w:noWrap/>
            <w:vAlign w:val="bottom"/>
            <w:hideMark/>
          </w:tcPr>
          <w:p w14:paraId="39B93523" w14:textId="77777777" w:rsidR="00A20361" w:rsidRPr="00DE6C9E" w:rsidRDefault="00A20361" w:rsidP="0048210B">
            <w:pPr>
              <w:jc w:val="center"/>
              <w:rPr>
                <w:sz w:val="20"/>
                <w:szCs w:val="20"/>
              </w:rPr>
            </w:pPr>
            <w:r w:rsidRPr="00DE6C9E">
              <w:rPr>
                <w:sz w:val="20"/>
                <w:szCs w:val="20"/>
              </w:rPr>
              <w:t>-1.507*</w:t>
            </w:r>
          </w:p>
        </w:tc>
        <w:tc>
          <w:tcPr>
            <w:tcW w:w="1302" w:type="dxa"/>
            <w:tcBorders>
              <w:top w:val="nil"/>
              <w:left w:val="nil"/>
              <w:bottom w:val="nil"/>
              <w:right w:val="nil"/>
            </w:tcBorders>
            <w:shd w:val="clear" w:color="auto" w:fill="auto"/>
            <w:noWrap/>
            <w:vAlign w:val="bottom"/>
            <w:hideMark/>
          </w:tcPr>
          <w:p w14:paraId="11386000" w14:textId="77777777" w:rsidR="00A20361" w:rsidRPr="00DE6C9E" w:rsidRDefault="00A20361" w:rsidP="0048210B">
            <w:pPr>
              <w:jc w:val="center"/>
              <w:rPr>
                <w:sz w:val="20"/>
                <w:szCs w:val="20"/>
              </w:rPr>
            </w:pPr>
            <w:r w:rsidRPr="00DE6C9E">
              <w:rPr>
                <w:sz w:val="20"/>
                <w:szCs w:val="20"/>
              </w:rPr>
              <w:t>-1.764**</w:t>
            </w:r>
          </w:p>
        </w:tc>
      </w:tr>
      <w:tr w:rsidR="00A20361" w:rsidRPr="005B294B" w14:paraId="51A0F936"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17CA45F7" w14:textId="77777777" w:rsidR="00A20361" w:rsidRPr="00DE6C9E" w:rsidRDefault="00A20361" w:rsidP="0048210B">
            <w:pPr>
              <w:rPr>
                <w:sz w:val="20"/>
                <w:szCs w:val="20"/>
              </w:rPr>
            </w:pPr>
          </w:p>
        </w:tc>
        <w:tc>
          <w:tcPr>
            <w:tcW w:w="1035" w:type="dxa"/>
            <w:tcBorders>
              <w:top w:val="nil"/>
              <w:left w:val="nil"/>
              <w:bottom w:val="nil"/>
              <w:right w:val="nil"/>
            </w:tcBorders>
            <w:shd w:val="clear" w:color="auto" w:fill="auto"/>
            <w:noWrap/>
            <w:vAlign w:val="bottom"/>
            <w:hideMark/>
          </w:tcPr>
          <w:p w14:paraId="45EADCD0"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5E25E75C"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6F299F6B" w14:textId="77777777" w:rsidR="00A20361" w:rsidRPr="005B294B" w:rsidRDefault="00A20361" w:rsidP="0048210B">
            <w:pPr>
              <w:jc w:val="center"/>
              <w:rPr>
                <w:sz w:val="20"/>
                <w:szCs w:val="20"/>
              </w:rPr>
            </w:pPr>
            <w:r w:rsidRPr="00DE6C9E">
              <w:rPr>
                <w:sz w:val="20"/>
                <w:szCs w:val="20"/>
              </w:rPr>
              <w:t>(0.625)</w:t>
            </w:r>
          </w:p>
        </w:tc>
        <w:tc>
          <w:tcPr>
            <w:tcW w:w="1302" w:type="dxa"/>
            <w:tcBorders>
              <w:top w:val="nil"/>
              <w:left w:val="nil"/>
              <w:bottom w:val="nil"/>
              <w:right w:val="nil"/>
            </w:tcBorders>
            <w:shd w:val="clear" w:color="auto" w:fill="auto"/>
            <w:noWrap/>
            <w:vAlign w:val="bottom"/>
            <w:hideMark/>
          </w:tcPr>
          <w:p w14:paraId="2AD5B466" w14:textId="77777777" w:rsidR="00A20361" w:rsidRPr="00DE6C9E" w:rsidRDefault="00A20361" w:rsidP="0048210B">
            <w:pPr>
              <w:jc w:val="center"/>
              <w:rPr>
                <w:sz w:val="20"/>
                <w:szCs w:val="20"/>
              </w:rPr>
            </w:pPr>
            <w:r w:rsidRPr="00DE6C9E">
              <w:rPr>
                <w:sz w:val="20"/>
                <w:szCs w:val="20"/>
              </w:rPr>
              <w:t>(0.674)</w:t>
            </w:r>
          </w:p>
        </w:tc>
        <w:tc>
          <w:tcPr>
            <w:tcW w:w="1302" w:type="dxa"/>
            <w:tcBorders>
              <w:top w:val="nil"/>
              <w:left w:val="nil"/>
              <w:bottom w:val="nil"/>
              <w:right w:val="nil"/>
            </w:tcBorders>
            <w:shd w:val="clear" w:color="auto" w:fill="auto"/>
            <w:noWrap/>
            <w:vAlign w:val="bottom"/>
            <w:hideMark/>
          </w:tcPr>
          <w:p w14:paraId="63766F84" w14:textId="77777777" w:rsidR="00A20361" w:rsidRPr="00DE6C9E" w:rsidRDefault="00A20361" w:rsidP="0048210B">
            <w:pPr>
              <w:jc w:val="center"/>
              <w:rPr>
                <w:sz w:val="20"/>
                <w:szCs w:val="20"/>
              </w:rPr>
            </w:pPr>
            <w:r w:rsidRPr="00DE6C9E">
              <w:rPr>
                <w:sz w:val="20"/>
                <w:szCs w:val="20"/>
              </w:rPr>
              <w:t>(0.652)</w:t>
            </w:r>
          </w:p>
        </w:tc>
      </w:tr>
      <w:tr w:rsidR="00A20361" w:rsidRPr="005B294B" w14:paraId="6CCBC185"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278579CA" w14:textId="77777777" w:rsidR="00A20361" w:rsidRPr="00DE6C9E" w:rsidRDefault="00A20361" w:rsidP="0048210B">
            <w:pPr>
              <w:rPr>
                <w:sz w:val="20"/>
                <w:szCs w:val="20"/>
              </w:rPr>
            </w:pPr>
            <w:r w:rsidRPr="00DE6C9E">
              <w:rPr>
                <w:sz w:val="20"/>
                <w:szCs w:val="20"/>
              </w:rPr>
              <w:t>Asian Share</w:t>
            </w:r>
          </w:p>
        </w:tc>
        <w:tc>
          <w:tcPr>
            <w:tcW w:w="1035" w:type="dxa"/>
            <w:tcBorders>
              <w:top w:val="nil"/>
              <w:left w:val="nil"/>
              <w:bottom w:val="nil"/>
              <w:right w:val="nil"/>
            </w:tcBorders>
            <w:shd w:val="clear" w:color="auto" w:fill="auto"/>
            <w:noWrap/>
            <w:vAlign w:val="bottom"/>
            <w:hideMark/>
          </w:tcPr>
          <w:p w14:paraId="469E06CF" w14:textId="77777777" w:rsidR="00A20361" w:rsidRPr="00DE6C9E"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37781787"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152B7834" w14:textId="77777777" w:rsidR="00A20361" w:rsidRPr="005B294B" w:rsidRDefault="00A20361" w:rsidP="0048210B">
            <w:pPr>
              <w:jc w:val="center"/>
              <w:rPr>
                <w:sz w:val="20"/>
                <w:szCs w:val="20"/>
              </w:rPr>
            </w:pPr>
            <w:r w:rsidRPr="00DE6C9E">
              <w:rPr>
                <w:sz w:val="20"/>
                <w:szCs w:val="20"/>
              </w:rPr>
              <w:t>14.070***</w:t>
            </w:r>
          </w:p>
        </w:tc>
        <w:tc>
          <w:tcPr>
            <w:tcW w:w="1302" w:type="dxa"/>
            <w:tcBorders>
              <w:top w:val="nil"/>
              <w:left w:val="nil"/>
              <w:bottom w:val="nil"/>
              <w:right w:val="nil"/>
            </w:tcBorders>
            <w:shd w:val="clear" w:color="auto" w:fill="auto"/>
            <w:noWrap/>
            <w:vAlign w:val="bottom"/>
            <w:hideMark/>
          </w:tcPr>
          <w:p w14:paraId="3FAF146B" w14:textId="77777777" w:rsidR="00A20361" w:rsidRPr="00DE6C9E" w:rsidRDefault="00A20361" w:rsidP="0048210B">
            <w:pPr>
              <w:jc w:val="center"/>
              <w:rPr>
                <w:sz w:val="20"/>
                <w:szCs w:val="20"/>
              </w:rPr>
            </w:pPr>
            <w:r w:rsidRPr="00DE6C9E">
              <w:rPr>
                <w:sz w:val="20"/>
                <w:szCs w:val="20"/>
              </w:rPr>
              <w:t>15.619***</w:t>
            </w:r>
          </w:p>
        </w:tc>
        <w:tc>
          <w:tcPr>
            <w:tcW w:w="1302" w:type="dxa"/>
            <w:tcBorders>
              <w:top w:val="nil"/>
              <w:left w:val="nil"/>
              <w:bottom w:val="nil"/>
              <w:right w:val="nil"/>
            </w:tcBorders>
            <w:shd w:val="clear" w:color="auto" w:fill="auto"/>
            <w:noWrap/>
            <w:vAlign w:val="bottom"/>
            <w:hideMark/>
          </w:tcPr>
          <w:p w14:paraId="3AAF292F" w14:textId="77777777" w:rsidR="00A20361" w:rsidRPr="00DE6C9E" w:rsidRDefault="00A20361" w:rsidP="0048210B">
            <w:pPr>
              <w:jc w:val="center"/>
              <w:rPr>
                <w:sz w:val="20"/>
                <w:szCs w:val="20"/>
              </w:rPr>
            </w:pPr>
            <w:r w:rsidRPr="00DE6C9E">
              <w:rPr>
                <w:sz w:val="20"/>
                <w:szCs w:val="20"/>
              </w:rPr>
              <w:t>16.629***</w:t>
            </w:r>
          </w:p>
        </w:tc>
      </w:tr>
      <w:tr w:rsidR="00A20361" w:rsidRPr="005B294B" w14:paraId="52E7D207" w14:textId="77777777" w:rsidTr="0048210B">
        <w:trPr>
          <w:trHeight w:val="285"/>
          <w:jc w:val="center"/>
        </w:trPr>
        <w:tc>
          <w:tcPr>
            <w:tcW w:w="2700" w:type="dxa"/>
            <w:gridSpan w:val="2"/>
            <w:tcBorders>
              <w:top w:val="nil"/>
              <w:left w:val="nil"/>
              <w:bottom w:val="nil"/>
              <w:right w:val="nil"/>
            </w:tcBorders>
            <w:shd w:val="clear" w:color="auto" w:fill="auto"/>
            <w:noWrap/>
            <w:vAlign w:val="bottom"/>
            <w:hideMark/>
          </w:tcPr>
          <w:p w14:paraId="5FCBF62A" w14:textId="77777777" w:rsidR="00A20361" w:rsidRPr="00DE6C9E" w:rsidRDefault="00A20361" w:rsidP="0048210B">
            <w:pPr>
              <w:rPr>
                <w:sz w:val="20"/>
                <w:szCs w:val="20"/>
              </w:rPr>
            </w:pPr>
          </w:p>
        </w:tc>
        <w:tc>
          <w:tcPr>
            <w:tcW w:w="1035" w:type="dxa"/>
            <w:tcBorders>
              <w:top w:val="nil"/>
              <w:left w:val="nil"/>
              <w:bottom w:val="nil"/>
              <w:right w:val="nil"/>
            </w:tcBorders>
            <w:shd w:val="clear" w:color="auto" w:fill="auto"/>
            <w:noWrap/>
            <w:vAlign w:val="bottom"/>
            <w:hideMark/>
          </w:tcPr>
          <w:p w14:paraId="2EAF83FF"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1E67A634"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095FE732" w14:textId="77777777" w:rsidR="00A20361" w:rsidRPr="005B294B" w:rsidRDefault="00A20361" w:rsidP="0048210B">
            <w:pPr>
              <w:jc w:val="center"/>
              <w:rPr>
                <w:sz w:val="20"/>
                <w:szCs w:val="20"/>
              </w:rPr>
            </w:pPr>
            <w:r w:rsidRPr="00DE6C9E">
              <w:rPr>
                <w:sz w:val="20"/>
                <w:szCs w:val="20"/>
              </w:rPr>
              <w:t>(3.068)</w:t>
            </w:r>
          </w:p>
        </w:tc>
        <w:tc>
          <w:tcPr>
            <w:tcW w:w="1302" w:type="dxa"/>
            <w:tcBorders>
              <w:top w:val="nil"/>
              <w:left w:val="nil"/>
              <w:bottom w:val="nil"/>
              <w:right w:val="nil"/>
            </w:tcBorders>
            <w:shd w:val="clear" w:color="auto" w:fill="auto"/>
            <w:noWrap/>
            <w:vAlign w:val="bottom"/>
            <w:hideMark/>
          </w:tcPr>
          <w:p w14:paraId="3F351586" w14:textId="77777777" w:rsidR="00A20361" w:rsidRPr="00DE6C9E" w:rsidRDefault="00A20361" w:rsidP="0048210B">
            <w:pPr>
              <w:jc w:val="center"/>
              <w:rPr>
                <w:sz w:val="20"/>
                <w:szCs w:val="20"/>
              </w:rPr>
            </w:pPr>
            <w:r w:rsidRPr="00DE6C9E">
              <w:rPr>
                <w:sz w:val="20"/>
                <w:szCs w:val="20"/>
              </w:rPr>
              <w:t>(4.032)</w:t>
            </w:r>
          </w:p>
        </w:tc>
        <w:tc>
          <w:tcPr>
            <w:tcW w:w="1302" w:type="dxa"/>
            <w:tcBorders>
              <w:top w:val="nil"/>
              <w:left w:val="nil"/>
              <w:bottom w:val="nil"/>
              <w:right w:val="nil"/>
            </w:tcBorders>
            <w:shd w:val="clear" w:color="auto" w:fill="auto"/>
            <w:noWrap/>
            <w:vAlign w:val="bottom"/>
            <w:hideMark/>
          </w:tcPr>
          <w:p w14:paraId="72877D88" w14:textId="77777777" w:rsidR="00A20361" w:rsidRPr="00DE6C9E" w:rsidRDefault="00A20361" w:rsidP="0048210B">
            <w:pPr>
              <w:jc w:val="center"/>
              <w:rPr>
                <w:sz w:val="20"/>
                <w:szCs w:val="20"/>
              </w:rPr>
            </w:pPr>
            <w:r w:rsidRPr="00DE6C9E">
              <w:rPr>
                <w:sz w:val="20"/>
                <w:szCs w:val="20"/>
              </w:rPr>
              <w:t>(3.821)</w:t>
            </w:r>
          </w:p>
        </w:tc>
      </w:tr>
      <w:tr w:rsidR="00A20361" w:rsidRPr="005B294B" w14:paraId="75B34FE5" w14:textId="77777777" w:rsidTr="0048210B">
        <w:trPr>
          <w:trHeight w:val="285"/>
          <w:jc w:val="center"/>
        </w:trPr>
        <w:tc>
          <w:tcPr>
            <w:tcW w:w="2700" w:type="dxa"/>
            <w:gridSpan w:val="2"/>
            <w:tcBorders>
              <w:top w:val="nil"/>
              <w:left w:val="nil"/>
              <w:bottom w:val="nil"/>
              <w:right w:val="nil"/>
            </w:tcBorders>
            <w:shd w:val="clear" w:color="auto" w:fill="auto"/>
            <w:noWrap/>
            <w:vAlign w:val="center"/>
            <w:hideMark/>
          </w:tcPr>
          <w:p w14:paraId="227127B1" w14:textId="77777777" w:rsidR="00A20361" w:rsidRPr="00DE6C9E" w:rsidRDefault="00A20361" w:rsidP="0048210B">
            <w:pPr>
              <w:rPr>
                <w:sz w:val="20"/>
                <w:szCs w:val="20"/>
              </w:rPr>
            </w:pPr>
            <w:r w:rsidRPr="00DE6C9E">
              <w:rPr>
                <w:sz w:val="20"/>
                <w:szCs w:val="20"/>
              </w:rPr>
              <w:t>Poverty Share</w:t>
            </w:r>
          </w:p>
        </w:tc>
        <w:tc>
          <w:tcPr>
            <w:tcW w:w="1035" w:type="dxa"/>
            <w:tcBorders>
              <w:top w:val="nil"/>
              <w:left w:val="nil"/>
              <w:bottom w:val="nil"/>
              <w:right w:val="nil"/>
            </w:tcBorders>
            <w:shd w:val="clear" w:color="auto" w:fill="auto"/>
            <w:noWrap/>
            <w:vAlign w:val="bottom"/>
            <w:hideMark/>
          </w:tcPr>
          <w:p w14:paraId="6A0C8046" w14:textId="77777777" w:rsidR="00A20361" w:rsidRPr="00DE6C9E"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7CA1E880"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6A6165FE"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3592A5E7" w14:textId="77777777" w:rsidR="00A20361" w:rsidRPr="005B294B" w:rsidRDefault="00A20361" w:rsidP="0048210B">
            <w:pPr>
              <w:jc w:val="center"/>
              <w:rPr>
                <w:sz w:val="20"/>
                <w:szCs w:val="20"/>
              </w:rPr>
            </w:pPr>
            <w:r w:rsidRPr="00DE6C9E">
              <w:rPr>
                <w:sz w:val="20"/>
                <w:szCs w:val="20"/>
              </w:rPr>
              <w:t>3.731</w:t>
            </w:r>
          </w:p>
        </w:tc>
        <w:tc>
          <w:tcPr>
            <w:tcW w:w="1302" w:type="dxa"/>
            <w:tcBorders>
              <w:top w:val="nil"/>
              <w:left w:val="nil"/>
              <w:bottom w:val="nil"/>
              <w:right w:val="nil"/>
            </w:tcBorders>
            <w:shd w:val="clear" w:color="auto" w:fill="auto"/>
            <w:noWrap/>
            <w:vAlign w:val="bottom"/>
            <w:hideMark/>
          </w:tcPr>
          <w:p w14:paraId="55F36695" w14:textId="77777777" w:rsidR="00A20361" w:rsidRPr="00DE6C9E" w:rsidRDefault="00A20361" w:rsidP="0048210B">
            <w:pPr>
              <w:jc w:val="center"/>
              <w:rPr>
                <w:sz w:val="20"/>
                <w:szCs w:val="20"/>
              </w:rPr>
            </w:pPr>
            <w:r w:rsidRPr="00DE6C9E">
              <w:rPr>
                <w:sz w:val="20"/>
                <w:szCs w:val="20"/>
              </w:rPr>
              <w:t>3.895</w:t>
            </w:r>
          </w:p>
        </w:tc>
      </w:tr>
      <w:tr w:rsidR="00A20361" w:rsidRPr="005B294B" w14:paraId="0A13058A" w14:textId="77777777" w:rsidTr="0048210B">
        <w:trPr>
          <w:trHeight w:val="312"/>
          <w:jc w:val="center"/>
        </w:trPr>
        <w:tc>
          <w:tcPr>
            <w:tcW w:w="2700" w:type="dxa"/>
            <w:gridSpan w:val="2"/>
            <w:tcBorders>
              <w:top w:val="nil"/>
              <w:left w:val="nil"/>
              <w:bottom w:val="nil"/>
              <w:right w:val="nil"/>
            </w:tcBorders>
            <w:shd w:val="clear" w:color="auto" w:fill="auto"/>
            <w:noWrap/>
            <w:vAlign w:val="bottom"/>
            <w:hideMark/>
          </w:tcPr>
          <w:p w14:paraId="7B0D085D" w14:textId="77777777" w:rsidR="00A20361" w:rsidRPr="00DE6C9E" w:rsidRDefault="00A20361" w:rsidP="0048210B">
            <w:pPr>
              <w:jc w:val="right"/>
              <w:rPr>
                <w:sz w:val="20"/>
                <w:szCs w:val="20"/>
              </w:rPr>
            </w:pPr>
          </w:p>
        </w:tc>
        <w:tc>
          <w:tcPr>
            <w:tcW w:w="1035" w:type="dxa"/>
            <w:tcBorders>
              <w:top w:val="nil"/>
              <w:left w:val="nil"/>
              <w:bottom w:val="nil"/>
              <w:right w:val="nil"/>
            </w:tcBorders>
            <w:shd w:val="clear" w:color="auto" w:fill="auto"/>
            <w:noWrap/>
            <w:vAlign w:val="bottom"/>
            <w:hideMark/>
          </w:tcPr>
          <w:p w14:paraId="3E06C182"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243A7D75"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72EBB430" w14:textId="77777777" w:rsidR="00A20361" w:rsidRPr="005B294B" w:rsidRDefault="00A20361" w:rsidP="0048210B">
            <w:pPr>
              <w:jc w:val="center"/>
              <w:rPr>
                <w:sz w:val="20"/>
                <w:szCs w:val="20"/>
              </w:rPr>
            </w:pPr>
          </w:p>
        </w:tc>
        <w:tc>
          <w:tcPr>
            <w:tcW w:w="1302" w:type="dxa"/>
            <w:tcBorders>
              <w:top w:val="nil"/>
              <w:left w:val="nil"/>
              <w:bottom w:val="nil"/>
              <w:right w:val="nil"/>
            </w:tcBorders>
            <w:shd w:val="clear" w:color="auto" w:fill="auto"/>
            <w:noWrap/>
            <w:vAlign w:val="bottom"/>
            <w:hideMark/>
          </w:tcPr>
          <w:p w14:paraId="576C889A" w14:textId="77777777" w:rsidR="00A20361" w:rsidRPr="005B294B" w:rsidRDefault="00A20361" w:rsidP="0048210B">
            <w:pPr>
              <w:jc w:val="center"/>
              <w:rPr>
                <w:sz w:val="20"/>
                <w:szCs w:val="20"/>
              </w:rPr>
            </w:pPr>
            <w:r w:rsidRPr="00DE6C9E">
              <w:rPr>
                <w:sz w:val="20"/>
                <w:szCs w:val="20"/>
              </w:rPr>
              <w:t>(3.059)</w:t>
            </w:r>
          </w:p>
        </w:tc>
        <w:tc>
          <w:tcPr>
            <w:tcW w:w="1302" w:type="dxa"/>
            <w:tcBorders>
              <w:top w:val="nil"/>
              <w:left w:val="nil"/>
              <w:bottom w:val="nil"/>
              <w:right w:val="nil"/>
            </w:tcBorders>
            <w:shd w:val="clear" w:color="auto" w:fill="auto"/>
            <w:noWrap/>
            <w:vAlign w:val="bottom"/>
            <w:hideMark/>
          </w:tcPr>
          <w:p w14:paraId="79C15CD3" w14:textId="77777777" w:rsidR="00A20361" w:rsidRPr="00DE6C9E" w:rsidRDefault="00A20361" w:rsidP="0048210B">
            <w:pPr>
              <w:jc w:val="center"/>
              <w:rPr>
                <w:sz w:val="20"/>
                <w:szCs w:val="20"/>
              </w:rPr>
            </w:pPr>
            <w:r w:rsidRPr="00DE6C9E">
              <w:rPr>
                <w:sz w:val="20"/>
                <w:szCs w:val="20"/>
              </w:rPr>
              <w:t>(2.904)</w:t>
            </w:r>
          </w:p>
        </w:tc>
      </w:tr>
      <w:tr w:rsidR="00A20361" w:rsidRPr="005B294B" w14:paraId="2586BCBE" w14:textId="77777777" w:rsidTr="0048210B">
        <w:trPr>
          <w:trHeight w:val="285"/>
          <w:jc w:val="center"/>
        </w:trPr>
        <w:tc>
          <w:tcPr>
            <w:tcW w:w="3735" w:type="dxa"/>
            <w:gridSpan w:val="3"/>
            <w:tcBorders>
              <w:top w:val="nil"/>
              <w:left w:val="nil"/>
              <w:bottom w:val="nil"/>
              <w:right w:val="nil"/>
            </w:tcBorders>
            <w:shd w:val="clear" w:color="auto" w:fill="auto"/>
            <w:noWrap/>
            <w:vAlign w:val="center"/>
            <w:hideMark/>
          </w:tcPr>
          <w:p w14:paraId="16C82E6A" w14:textId="77777777" w:rsidR="00A20361" w:rsidRPr="00DE6C9E" w:rsidRDefault="00A20361" w:rsidP="0048210B">
            <w:pPr>
              <w:rPr>
                <w:sz w:val="20"/>
                <w:szCs w:val="20"/>
              </w:rPr>
            </w:pPr>
            <w:r w:rsidRPr="00DE6C9E">
              <w:rPr>
                <w:sz w:val="20"/>
                <w:szCs w:val="20"/>
              </w:rPr>
              <w:t>Median Family Income</w:t>
            </w:r>
          </w:p>
        </w:tc>
        <w:tc>
          <w:tcPr>
            <w:tcW w:w="1302" w:type="dxa"/>
            <w:tcBorders>
              <w:top w:val="nil"/>
              <w:left w:val="nil"/>
              <w:bottom w:val="nil"/>
              <w:right w:val="nil"/>
            </w:tcBorders>
            <w:shd w:val="clear" w:color="auto" w:fill="auto"/>
            <w:noWrap/>
            <w:vAlign w:val="bottom"/>
            <w:hideMark/>
          </w:tcPr>
          <w:p w14:paraId="18A96397" w14:textId="77777777" w:rsidR="00A20361" w:rsidRPr="00DE6C9E"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355E4B7B"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7D828D4A" w14:textId="77777777" w:rsidR="00A20361" w:rsidRPr="005B294B" w:rsidRDefault="00A20361" w:rsidP="0048210B">
            <w:pPr>
              <w:rPr>
                <w:sz w:val="20"/>
                <w:szCs w:val="20"/>
              </w:rPr>
            </w:pPr>
          </w:p>
        </w:tc>
        <w:tc>
          <w:tcPr>
            <w:tcW w:w="1302" w:type="dxa"/>
            <w:tcBorders>
              <w:top w:val="nil"/>
              <w:left w:val="nil"/>
              <w:bottom w:val="nil"/>
              <w:right w:val="nil"/>
            </w:tcBorders>
            <w:shd w:val="clear" w:color="auto" w:fill="auto"/>
            <w:noWrap/>
            <w:vAlign w:val="bottom"/>
            <w:hideMark/>
          </w:tcPr>
          <w:p w14:paraId="14734765" w14:textId="77777777" w:rsidR="00A20361" w:rsidRPr="005B294B" w:rsidRDefault="00A20361" w:rsidP="0048210B">
            <w:pPr>
              <w:rPr>
                <w:sz w:val="20"/>
                <w:szCs w:val="20"/>
              </w:rPr>
            </w:pPr>
            <w:r w:rsidRPr="00DE6C9E">
              <w:rPr>
                <w:sz w:val="20"/>
                <w:szCs w:val="20"/>
              </w:rPr>
              <w:t>-0.000</w:t>
            </w:r>
          </w:p>
        </w:tc>
      </w:tr>
      <w:tr w:rsidR="00A20361" w:rsidRPr="005B294B" w14:paraId="58C03EA3" w14:textId="77777777" w:rsidTr="007919B5">
        <w:trPr>
          <w:trHeight w:val="285"/>
          <w:jc w:val="center"/>
        </w:trPr>
        <w:tc>
          <w:tcPr>
            <w:tcW w:w="2251" w:type="dxa"/>
            <w:tcBorders>
              <w:top w:val="nil"/>
              <w:left w:val="nil"/>
              <w:right w:val="nil"/>
            </w:tcBorders>
            <w:shd w:val="clear" w:color="auto" w:fill="auto"/>
            <w:noWrap/>
            <w:vAlign w:val="bottom"/>
            <w:hideMark/>
          </w:tcPr>
          <w:p w14:paraId="3D0390B4" w14:textId="77777777" w:rsidR="00A20361" w:rsidRPr="005B294B" w:rsidRDefault="00A20361" w:rsidP="0048210B">
            <w:pPr>
              <w:rPr>
                <w:sz w:val="20"/>
                <w:szCs w:val="20"/>
              </w:rPr>
            </w:pPr>
          </w:p>
        </w:tc>
        <w:tc>
          <w:tcPr>
            <w:tcW w:w="1484" w:type="dxa"/>
            <w:gridSpan w:val="2"/>
            <w:tcBorders>
              <w:top w:val="nil"/>
              <w:left w:val="nil"/>
              <w:right w:val="nil"/>
            </w:tcBorders>
            <w:shd w:val="clear" w:color="auto" w:fill="auto"/>
            <w:noWrap/>
            <w:vAlign w:val="bottom"/>
            <w:hideMark/>
          </w:tcPr>
          <w:p w14:paraId="4CD30E66" w14:textId="77777777" w:rsidR="00A20361" w:rsidRPr="005B294B" w:rsidRDefault="00A20361" w:rsidP="0048210B">
            <w:pPr>
              <w:rPr>
                <w:sz w:val="20"/>
                <w:szCs w:val="20"/>
              </w:rPr>
            </w:pPr>
          </w:p>
        </w:tc>
        <w:tc>
          <w:tcPr>
            <w:tcW w:w="1302" w:type="dxa"/>
            <w:tcBorders>
              <w:top w:val="nil"/>
              <w:left w:val="nil"/>
              <w:right w:val="nil"/>
            </w:tcBorders>
            <w:shd w:val="clear" w:color="auto" w:fill="auto"/>
            <w:noWrap/>
            <w:vAlign w:val="bottom"/>
            <w:hideMark/>
          </w:tcPr>
          <w:p w14:paraId="57DC440F" w14:textId="77777777" w:rsidR="00A20361" w:rsidRPr="005B294B" w:rsidRDefault="00A20361" w:rsidP="0048210B">
            <w:pPr>
              <w:rPr>
                <w:sz w:val="20"/>
                <w:szCs w:val="20"/>
              </w:rPr>
            </w:pPr>
          </w:p>
        </w:tc>
        <w:tc>
          <w:tcPr>
            <w:tcW w:w="1302" w:type="dxa"/>
            <w:tcBorders>
              <w:top w:val="nil"/>
              <w:left w:val="nil"/>
              <w:right w:val="nil"/>
            </w:tcBorders>
            <w:shd w:val="clear" w:color="auto" w:fill="auto"/>
            <w:noWrap/>
            <w:vAlign w:val="bottom"/>
            <w:hideMark/>
          </w:tcPr>
          <w:p w14:paraId="382BC798" w14:textId="77777777" w:rsidR="00A20361" w:rsidRPr="005B294B" w:rsidRDefault="00A20361" w:rsidP="0048210B">
            <w:pPr>
              <w:rPr>
                <w:sz w:val="20"/>
                <w:szCs w:val="20"/>
              </w:rPr>
            </w:pPr>
          </w:p>
        </w:tc>
        <w:tc>
          <w:tcPr>
            <w:tcW w:w="1302" w:type="dxa"/>
            <w:tcBorders>
              <w:top w:val="nil"/>
              <w:left w:val="nil"/>
              <w:right w:val="nil"/>
            </w:tcBorders>
            <w:shd w:val="clear" w:color="auto" w:fill="auto"/>
            <w:noWrap/>
            <w:vAlign w:val="bottom"/>
            <w:hideMark/>
          </w:tcPr>
          <w:p w14:paraId="0294EB63" w14:textId="77777777" w:rsidR="00A20361" w:rsidRPr="005B294B" w:rsidRDefault="00A20361" w:rsidP="0048210B">
            <w:pPr>
              <w:rPr>
                <w:sz w:val="20"/>
                <w:szCs w:val="20"/>
              </w:rPr>
            </w:pPr>
            <w:r w:rsidRPr="00DE6C9E">
              <w:rPr>
                <w:sz w:val="20"/>
                <w:szCs w:val="20"/>
              </w:rPr>
              <w:t>(0.000)</w:t>
            </w:r>
          </w:p>
        </w:tc>
        <w:tc>
          <w:tcPr>
            <w:tcW w:w="1302" w:type="dxa"/>
            <w:tcBorders>
              <w:top w:val="nil"/>
              <w:left w:val="nil"/>
              <w:right w:val="nil"/>
            </w:tcBorders>
            <w:shd w:val="clear" w:color="auto" w:fill="auto"/>
            <w:noWrap/>
            <w:vAlign w:val="bottom"/>
            <w:hideMark/>
          </w:tcPr>
          <w:p w14:paraId="2616EE49" w14:textId="77777777" w:rsidR="00A20361" w:rsidRPr="005B294B" w:rsidRDefault="00A20361" w:rsidP="0048210B">
            <w:pPr>
              <w:rPr>
                <w:sz w:val="20"/>
                <w:szCs w:val="20"/>
              </w:rPr>
            </w:pPr>
            <w:r w:rsidRPr="00DE6C9E">
              <w:rPr>
                <w:sz w:val="20"/>
                <w:szCs w:val="20"/>
              </w:rPr>
              <w:t>(0.000)</w:t>
            </w:r>
          </w:p>
        </w:tc>
      </w:tr>
      <w:tr w:rsidR="00A20361" w:rsidRPr="005B294B" w14:paraId="3B0BBF24" w14:textId="77777777" w:rsidTr="007919B5">
        <w:trPr>
          <w:trHeight w:val="303"/>
          <w:jc w:val="center"/>
        </w:trPr>
        <w:tc>
          <w:tcPr>
            <w:tcW w:w="2251" w:type="dxa"/>
            <w:tcBorders>
              <w:top w:val="nil"/>
              <w:left w:val="nil"/>
              <w:right w:val="nil"/>
            </w:tcBorders>
            <w:shd w:val="clear" w:color="auto" w:fill="auto"/>
            <w:noWrap/>
            <w:vAlign w:val="center"/>
            <w:hideMark/>
          </w:tcPr>
          <w:p w14:paraId="622FD512" w14:textId="77777777" w:rsidR="00A20361" w:rsidRPr="00DE6C9E" w:rsidRDefault="00A20361" w:rsidP="0048210B">
            <w:pPr>
              <w:rPr>
                <w:sz w:val="20"/>
                <w:szCs w:val="20"/>
              </w:rPr>
            </w:pPr>
            <w:r w:rsidRPr="00DE6C9E">
              <w:rPr>
                <w:sz w:val="20"/>
                <w:szCs w:val="20"/>
              </w:rPr>
              <w:t xml:space="preserve">Census Division FE           </w:t>
            </w:r>
          </w:p>
        </w:tc>
        <w:tc>
          <w:tcPr>
            <w:tcW w:w="1484" w:type="dxa"/>
            <w:gridSpan w:val="2"/>
            <w:tcBorders>
              <w:top w:val="nil"/>
              <w:left w:val="nil"/>
              <w:right w:val="nil"/>
            </w:tcBorders>
            <w:shd w:val="clear" w:color="auto" w:fill="auto"/>
            <w:noWrap/>
            <w:vAlign w:val="bottom"/>
            <w:hideMark/>
          </w:tcPr>
          <w:p w14:paraId="600DF5EB" w14:textId="77777777" w:rsidR="00A20361" w:rsidRPr="00DE6C9E" w:rsidRDefault="00A20361" w:rsidP="0048210B">
            <w:pPr>
              <w:jc w:val="center"/>
              <w:rPr>
                <w:sz w:val="20"/>
                <w:szCs w:val="20"/>
              </w:rPr>
            </w:pPr>
            <w:r w:rsidRPr="00DE6C9E">
              <w:rPr>
                <w:sz w:val="20"/>
                <w:szCs w:val="20"/>
              </w:rPr>
              <w:t>No</w:t>
            </w:r>
          </w:p>
        </w:tc>
        <w:tc>
          <w:tcPr>
            <w:tcW w:w="1302" w:type="dxa"/>
            <w:tcBorders>
              <w:top w:val="nil"/>
              <w:left w:val="nil"/>
              <w:right w:val="nil"/>
            </w:tcBorders>
            <w:shd w:val="clear" w:color="auto" w:fill="auto"/>
            <w:noWrap/>
            <w:vAlign w:val="bottom"/>
            <w:hideMark/>
          </w:tcPr>
          <w:p w14:paraId="12A0252C" w14:textId="77777777" w:rsidR="00A20361" w:rsidRPr="00DE6C9E" w:rsidRDefault="00A20361" w:rsidP="0048210B">
            <w:pPr>
              <w:jc w:val="center"/>
              <w:rPr>
                <w:sz w:val="20"/>
                <w:szCs w:val="20"/>
              </w:rPr>
            </w:pPr>
            <w:r w:rsidRPr="00DE6C9E">
              <w:rPr>
                <w:sz w:val="20"/>
                <w:szCs w:val="20"/>
              </w:rPr>
              <w:t>Yes</w:t>
            </w:r>
          </w:p>
        </w:tc>
        <w:tc>
          <w:tcPr>
            <w:tcW w:w="1302" w:type="dxa"/>
            <w:tcBorders>
              <w:top w:val="nil"/>
              <w:left w:val="nil"/>
              <w:right w:val="nil"/>
            </w:tcBorders>
            <w:shd w:val="clear" w:color="auto" w:fill="auto"/>
            <w:noWrap/>
            <w:vAlign w:val="bottom"/>
            <w:hideMark/>
          </w:tcPr>
          <w:p w14:paraId="24BEB292" w14:textId="77777777" w:rsidR="00A20361" w:rsidRPr="00DE6C9E" w:rsidRDefault="00A20361" w:rsidP="0048210B">
            <w:pPr>
              <w:jc w:val="center"/>
              <w:rPr>
                <w:sz w:val="20"/>
                <w:szCs w:val="20"/>
              </w:rPr>
            </w:pPr>
            <w:r w:rsidRPr="00DE6C9E">
              <w:rPr>
                <w:sz w:val="20"/>
                <w:szCs w:val="20"/>
              </w:rPr>
              <w:t>Yes</w:t>
            </w:r>
          </w:p>
        </w:tc>
        <w:tc>
          <w:tcPr>
            <w:tcW w:w="1302" w:type="dxa"/>
            <w:tcBorders>
              <w:top w:val="nil"/>
              <w:left w:val="nil"/>
              <w:right w:val="nil"/>
            </w:tcBorders>
            <w:shd w:val="clear" w:color="auto" w:fill="auto"/>
            <w:noWrap/>
            <w:vAlign w:val="bottom"/>
            <w:hideMark/>
          </w:tcPr>
          <w:p w14:paraId="42D55D9C" w14:textId="77777777" w:rsidR="00A20361" w:rsidRPr="00DE6C9E" w:rsidRDefault="00A20361" w:rsidP="0048210B">
            <w:pPr>
              <w:jc w:val="center"/>
              <w:rPr>
                <w:sz w:val="20"/>
                <w:szCs w:val="20"/>
              </w:rPr>
            </w:pPr>
            <w:r w:rsidRPr="00DE6C9E">
              <w:rPr>
                <w:sz w:val="20"/>
                <w:szCs w:val="20"/>
              </w:rPr>
              <w:t>Yes</w:t>
            </w:r>
          </w:p>
        </w:tc>
        <w:tc>
          <w:tcPr>
            <w:tcW w:w="1302" w:type="dxa"/>
            <w:tcBorders>
              <w:top w:val="nil"/>
              <w:left w:val="nil"/>
              <w:right w:val="nil"/>
            </w:tcBorders>
            <w:shd w:val="clear" w:color="auto" w:fill="auto"/>
            <w:noWrap/>
            <w:vAlign w:val="center"/>
            <w:hideMark/>
          </w:tcPr>
          <w:p w14:paraId="0E7509F5" w14:textId="77777777" w:rsidR="00A20361" w:rsidRPr="00DE6C9E" w:rsidRDefault="00A20361" w:rsidP="0048210B">
            <w:pPr>
              <w:jc w:val="center"/>
              <w:rPr>
                <w:sz w:val="20"/>
                <w:szCs w:val="20"/>
              </w:rPr>
            </w:pPr>
            <w:r w:rsidRPr="00DE6C9E">
              <w:rPr>
                <w:sz w:val="20"/>
                <w:szCs w:val="20"/>
              </w:rPr>
              <w:t>Yes</w:t>
            </w:r>
          </w:p>
        </w:tc>
      </w:tr>
      <w:tr w:rsidR="007919B5" w:rsidRPr="005B294B" w14:paraId="31E3D2DA" w14:textId="77777777" w:rsidTr="007919B5">
        <w:trPr>
          <w:trHeight w:val="303"/>
          <w:jc w:val="center"/>
        </w:trPr>
        <w:tc>
          <w:tcPr>
            <w:tcW w:w="2251" w:type="dxa"/>
            <w:tcBorders>
              <w:left w:val="nil"/>
              <w:bottom w:val="single" w:sz="8" w:space="0" w:color="auto"/>
              <w:right w:val="nil"/>
            </w:tcBorders>
            <w:shd w:val="clear" w:color="auto" w:fill="auto"/>
            <w:noWrap/>
            <w:vAlign w:val="center"/>
          </w:tcPr>
          <w:p w14:paraId="7E849047" w14:textId="300A9AA1" w:rsidR="007919B5" w:rsidRPr="00DE6C9E" w:rsidRDefault="007919B5" w:rsidP="0048210B">
            <w:pPr>
              <w:rPr>
                <w:sz w:val="20"/>
                <w:szCs w:val="20"/>
              </w:rPr>
            </w:pPr>
            <w:r>
              <w:rPr>
                <w:sz w:val="20"/>
                <w:szCs w:val="20"/>
              </w:rPr>
              <w:t>Year FE</w:t>
            </w:r>
          </w:p>
        </w:tc>
        <w:tc>
          <w:tcPr>
            <w:tcW w:w="1484" w:type="dxa"/>
            <w:gridSpan w:val="2"/>
            <w:tcBorders>
              <w:left w:val="nil"/>
              <w:bottom w:val="single" w:sz="8" w:space="0" w:color="auto"/>
              <w:right w:val="nil"/>
            </w:tcBorders>
            <w:shd w:val="clear" w:color="auto" w:fill="auto"/>
            <w:noWrap/>
            <w:vAlign w:val="bottom"/>
          </w:tcPr>
          <w:p w14:paraId="3EA0012F" w14:textId="51CF4B98" w:rsidR="007919B5" w:rsidRPr="00DE6C9E" w:rsidRDefault="007919B5" w:rsidP="0048210B">
            <w:pPr>
              <w:jc w:val="center"/>
              <w:rPr>
                <w:sz w:val="20"/>
                <w:szCs w:val="20"/>
              </w:rPr>
            </w:pPr>
            <w:r>
              <w:rPr>
                <w:sz w:val="20"/>
                <w:szCs w:val="20"/>
              </w:rPr>
              <w:t>Yes</w:t>
            </w:r>
          </w:p>
        </w:tc>
        <w:tc>
          <w:tcPr>
            <w:tcW w:w="1302" w:type="dxa"/>
            <w:tcBorders>
              <w:left w:val="nil"/>
              <w:bottom w:val="single" w:sz="8" w:space="0" w:color="auto"/>
              <w:right w:val="nil"/>
            </w:tcBorders>
            <w:shd w:val="clear" w:color="auto" w:fill="auto"/>
            <w:noWrap/>
            <w:vAlign w:val="bottom"/>
          </w:tcPr>
          <w:p w14:paraId="1B5A38A0" w14:textId="0B33A9E1" w:rsidR="007919B5" w:rsidRPr="00DE6C9E" w:rsidRDefault="007919B5" w:rsidP="0048210B">
            <w:pPr>
              <w:jc w:val="center"/>
              <w:rPr>
                <w:sz w:val="20"/>
                <w:szCs w:val="20"/>
              </w:rPr>
            </w:pPr>
            <w:r>
              <w:rPr>
                <w:sz w:val="20"/>
                <w:szCs w:val="20"/>
              </w:rPr>
              <w:t>Yes</w:t>
            </w:r>
          </w:p>
        </w:tc>
        <w:tc>
          <w:tcPr>
            <w:tcW w:w="1302" w:type="dxa"/>
            <w:tcBorders>
              <w:left w:val="nil"/>
              <w:bottom w:val="single" w:sz="8" w:space="0" w:color="auto"/>
              <w:right w:val="nil"/>
            </w:tcBorders>
            <w:shd w:val="clear" w:color="auto" w:fill="auto"/>
            <w:noWrap/>
            <w:vAlign w:val="bottom"/>
          </w:tcPr>
          <w:p w14:paraId="6F3B0FB7" w14:textId="5808CD84" w:rsidR="007919B5" w:rsidRPr="00DE6C9E" w:rsidRDefault="007919B5" w:rsidP="0048210B">
            <w:pPr>
              <w:jc w:val="center"/>
              <w:rPr>
                <w:sz w:val="20"/>
                <w:szCs w:val="20"/>
              </w:rPr>
            </w:pPr>
            <w:r>
              <w:rPr>
                <w:sz w:val="20"/>
                <w:szCs w:val="20"/>
              </w:rPr>
              <w:t>Yes</w:t>
            </w:r>
          </w:p>
        </w:tc>
        <w:tc>
          <w:tcPr>
            <w:tcW w:w="1302" w:type="dxa"/>
            <w:tcBorders>
              <w:left w:val="nil"/>
              <w:bottom w:val="single" w:sz="8" w:space="0" w:color="auto"/>
              <w:right w:val="nil"/>
            </w:tcBorders>
            <w:shd w:val="clear" w:color="auto" w:fill="auto"/>
            <w:noWrap/>
            <w:vAlign w:val="bottom"/>
          </w:tcPr>
          <w:p w14:paraId="47D6C528" w14:textId="64C1244E" w:rsidR="007919B5" w:rsidRPr="00DE6C9E" w:rsidRDefault="007919B5" w:rsidP="0048210B">
            <w:pPr>
              <w:jc w:val="center"/>
              <w:rPr>
                <w:sz w:val="20"/>
                <w:szCs w:val="20"/>
              </w:rPr>
            </w:pPr>
            <w:r>
              <w:rPr>
                <w:sz w:val="20"/>
                <w:szCs w:val="20"/>
              </w:rPr>
              <w:t>Yes</w:t>
            </w:r>
          </w:p>
        </w:tc>
        <w:tc>
          <w:tcPr>
            <w:tcW w:w="1302" w:type="dxa"/>
            <w:tcBorders>
              <w:left w:val="nil"/>
              <w:bottom w:val="single" w:sz="8" w:space="0" w:color="auto"/>
              <w:right w:val="nil"/>
            </w:tcBorders>
            <w:shd w:val="clear" w:color="auto" w:fill="auto"/>
            <w:noWrap/>
            <w:vAlign w:val="center"/>
          </w:tcPr>
          <w:p w14:paraId="15567C1B" w14:textId="609ABEFE" w:rsidR="007919B5" w:rsidRPr="00DE6C9E" w:rsidRDefault="007919B5" w:rsidP="0048210B">
            <w:pPr>
              <w:jc w:val="center"/>
              <w:rPr>
                <w:sz w:val="20"/>
                <w:szCs w:val="20"/>
              </w:rPr>
            </w:pPr>
            <w:r>
              <w:rPr>
                <w:sz w:val="20"/>
                <w:szCs w:val="20"/>
              </w:rPr>
              <w:t>Yes</w:t>
            </w:r>
          </w:p>
        </w:tc>
      </w:tr>
      <w:tr w:rsidR="00A20361" w:rsidRPr="005B294B" w14:paraId="0558B46E" w14:textId="77777777" w:rsidTr="0048210B">
        <w:trPr>
          <w:trHeight w:val="285"/>
          <w:jc w:val="center"/>
        </w:trPr>
        <w:tc>
          <w:tcPr>
            <w:tcW w:w="2251" w:type="dxa"/>
            <w:tcBorders>
              <w:top w:val="nil"/>
              <w:left w:val="nil"/>
              <w:bottom w:val="nil"/>
              <w:right w:val="nil"/>
            </w:tcBorders>
            <w:shd w:val="clear" w:color="auto" w:fill="auto"/>
            <w:noWrap/>
            <w:hideMark/>
          </w:tcPr>
          <w:p w14:paraId="4CB09853" w14:textId="77777777" w:rsidR="00A20361" w:rsidRPr="00DE6C9E" w:rsidRDefault="00A20361" w:rsidP="0048210B">
            <w:pPr>
              <w:rPr>
                <w:sz w:val="20"/>
                <w:szCs w:val="20"/>
              </w:rPr>
            </w:pPr>
            <w:r w:rsidRPr="00DE6C9E">
              <w:rPr>
                <w:sz w:val="20"/>
                <w:szCs w:val="20"/>
              </w:rPr>
              <w:t>Observations</w:t>
            </w:r>
          </w:p>
        </w:tc>
        <w:tc>
          <w:tcPr>
            <w:tcW w:w="1484" w:type="dxa"/>
            <w:gridSpan w:val="2"/>
            <w:tcBorders>
              <w:top w:val="nil"/>
              <w:left w:val="nil"/>
              <w:bottom w:val="nil"/>
              <w:right w:val="nil"/>
            </w:tcBorders>
            <w:shd w:val="clear" w:color="auto" w:fill="auto"/>
            <w:noWrap/>
            <w:vAlign w:val="bottom"/>
            <w:hideMark/>
          </w:tcPr>
          <w:p w14:paraId="2DD09699" w14:textId="77777777" w:rsidR="00A20361" w:rsidRPr="00DE6C9E" w:rsidRDefault="00A20361" w:rsidP="0048210B">
            <w:pPr>
              <w:jc w:val="center"/>
              <w:rPr>
                <w:sz w:val="20"/>
                <w:szCs w:val="20"/>
              </w:rPr>
            </w:pPr>
            <w:r w:rsidRPr="00DE6C9E">
              <w:rPr>
                <w:sz w:val="20"/>
                <w:szCs w:val="20"/>
              </w:rPr>
              <w:t>1444</w:t>
            </w:r>
          </w:p>
        </w:tc>
        <w:tc>
          <w:tcPr>
            <w:tcW w:w="1302" w:type="dxa"/>
            <w:tcBorders>
              <w:top w:val="nil"/>
              <w:left w:val="nil"/>
              <w:bottom w:val="nil"/>
              <w:right w:val="nil"/>
            </w:tcBorders>
            <w:shd w:val="clear" w:color="auto" w:fill="auto"/>
            <w:noWrap/>
            <w:vAlign w:val="bottom"/>
            <w:hideMark/>
          </w:tcPr>
          <w:p w14:paraId="362E3B62" w14:textId="77777777" w:rsidR="00A20361" w:rsidRPr="00DE6C9E" w:rsidRDefault="00A20361" w:rsidP="0048210B">
            <w:pPr>
              <w:jc w:val="center"/>
              <w:rPr>
                <w:sz w:val="20"/>
                <w:szCs w:val="20"/>
              </w:rPr>
            </w:pPr>
            <w:r w:rsidRPr="00DE6C9E">
              <w:rPr>
                <w:sz w:val="20"/>
                <w:szCs w:val="20"/>
              </w:rPr>
              <w:t>1444</w:t>
            </w:r>
          </w:p>
        </w:tc>
        <w:tc>
          <w:tcPr>
            <w:tcW w:w="1302" w:type="dxa"/>
            <w:tcBorders>
              <w:top w:val="nil"/>
              <w:left w:val="nil"/>
              <w:bottom w:val="nil"/>
              <w:right w:val="nil"/>
            </w:tcBorders>
            <w:shd w:val="clear" w:color="auto" w:fill="auto"/>
            <w:noWrap/>
            <w:vAlign w:val="bottom"/>
            <w:hideMark/>
          </w:tcPr>
          <w:p w14:paraId="26A8E33D" w14:textId="77777777" w:rsidR="00A20361" w:rsidRPr="00DE6C9E" w:rsidRDefault="00A20361" w:rsidP="0048210B">
            <w:pPr>
              <w:jc w:val="center"/>
              <w:rPr>
                <w:sz w:val="20"/>
                <w:szCs w:val="20"/>
              </w:rPr>
            </w:pPr>
            <w:r w:rsidRPr="00DE6C9E">
              <w:rPr>
                <w:sz w:val="20"/>
                <w:szCs w:val="20"/>
              </w:rPr>
              <w:t>1444</w:t>
            </w:r>
          </w:p>
        </w:tc>
        <w:tc>
          <w:tcPr>
            <w:tcW w:w="1302" w:type="dxa"/>
            <w:tcBorders>
              <w:top w:val="nil"/>
              <w:left w:val="nil"/>
              <w:bottom w:val="nil"/>
              <w:right w:val="nil"/>
            </w:tcBorders>
            <w:shd w:val="clear" w:color="auto" w:fill="auto"/>
            <w:noWrap/>
            <w:vAlign w:val="bottom"/>
            <w:hideMark/>
          </w:tcPr>
          <w:p w14:paraId="38225D53" w14:textId="77777777" w:rsidR="00A20361" w:rsidRPr="00DE6C9E" w:rsidRDefault="00A20361" w:rsidP="0048210B">
            <w:pPr>
              <w:jc w:val="center"/>
              <w:rPr>
                <w:sz w:val="20"/>
                <w:szCs w:val="20"/>
              </w:rPr>
            </w:pPr>
            <w:r w:rsidRPr="00DE6C9E">
              <w:rPr>
                <w:sz w:val="20"/>
                <w:szCs w:val="20"/>
              </w:rPr>
              <w:t>1444</w:t>
            </w:r>
          </w:p>
        </w:tc>
        <w:tc>
          <w:tcPr>
            <w:tcW w:w="1302" w:type="dxa"/>
            <w:tcBorders>
              <w:top w:val="nil"/>
              <w:left w:val="nil"/>
              <w:bottom w:val="nil"/>
              <w:right w:val="nil"/>
            </w:tcBorders>
            <w:shd w:val="clear" w:color="auto" w:fill="auto"/>
            <w:noWrap/>
            <w:vAlign w:val="center"/>
            <w:hideMark/>
          </w:tcPr>
          <w:p w14:paraId="1962FB8B" w14:textId="77777777" w:rsidR="00A20361" w:rsidRPr="00DE6C9E" w:rsidRDefault="00A20361" w:rsidP="0048210B">
            <w:pPr>
              <w:jc w:val="center"/>
              <w:rPr>
                <w:sz w:val="20"/>
                <w:szCs w:val="20"/>
              </w:rPr>
            </w:pPr>
            <w:r w:rsidRPr="00DE6C9E">
              <w:rPr>
                <w:sz w:val="20"/>
                <w:szCs w:val="20"/>
              </w:rPr>
              <w:t>1444</w:t>
            </w:r>
          </w:p>
        </w:tc>
      </w:tr>
      <w:tr w:rsidR="00A20361" w:rsidRPr="005B294B" w14:paraId="10191B10" w14:textId="77777777" w:rsidTr="0048210B">
        <w:trPr>
          <w:trHeight w:val="303"/>
          <w:jc w:val="center"/>
        </w:trPr>
        <w:tc>
          <w:tcPr>
            <w:tcW w:w="2251" w:type="dxa"/>
            <w:tcBorders>
              <w:top w:val="nil"/>
              <w:left w:val="nil"/>
              <w:bottom w:val="single" w:sz="8" w:space="0" w:color="auto"/>
              <w:right w:val="nil"/>
            </w:tcBorders>
            <w:shd w:val="clear" w:color="auto" w:fill="auto"/>
            <w:noWrap/>
            <w:hideMark/>
          </w:tcPr>
          <w:p w14:paraId="370E8487" w14:textId="77777777" w:rsidR="00A20361" w:rsidRPr="00DE6C9E" w:rsidRDefault="00A20361" w:rsidP="0048210B">
            <w:pPr>
              <w:rPr>
                <w:sz w:val="20"/>
                <w:szCs w:val="20"/>
              </w:rPr>
            </w:pPr>
            <w:r w:rsidRPr="00DE6C9E">
              <w:rPr>
                <w:sz w:val="20"/>
                <w:szCs w:val="20"/>
              </w:rPr>
              <w:t>R-squared</w:t>
            </w:r>
          </w:p>
        </w:tc>
        <w:tc>
          <w:tcPr>
            <w:tcW w:w="1484" w:type="dxa"/>
            <w:gridSpan w:val="2"/>
            <w:tcBorders>
              <w:top w:val="nil"/>
              <w:left w:val="nil"/>
              <w:bottom w:val="single" w:sz="8" w:space="0" w:color="auto"/>
              <w:right w:val="nil"/>
            </w:tcBorders>
            <w:shd w:val="clear" w:color="auto" w:fill="auto"/>
            <w:noWrap/>
            <w:vAlign w:val="bottom"/>
            <w:hideMark/>
          </w:tcPr>
          <w:p w14:paraId="42FEFB18" w14:textId="77777777" w:rsidR="00A20361" w:rsidRPr="00DE6C9E" w:rsidRDefault="00A20361" w:rsidP="0048210B">
            <w:pPr>
              <w:jc w:val="center"/>
              <w:rPr>
                <w:sz w:val="20"/>
                <w:szCs w:val="20"/>
              </w:rPr>
            </w:pPr>
            <w:r w:rsidRPr="00DE6C9E">
              <w:rPr>
                <w:sz w:val="20"/>
                <w:szCs w:val="20"/>
              </w:rPr>
              <w:t>0.016</w:t>
            </w:r>
          </w:p>
        </w:tc>
        <w:tc>
          <w:tcPr>
            <w:tcW w:w="1302" w:type="dxa"/>
            <w:tcBorders>
              <w:top w:val="nil"/>
              <w:left w:val="nil"/>
              <w:bottom w:val="single" w:sz="8" w:space="0" w:color="auto"/>
              <w:right w:val="nil"/>
            </w:tcBorders>
            <w:shd w:val="clear" w:color="auto" w:fill="auto"/>
            <w:noWrap/>
            <w:vAlign w:val="bottom"/>
            <w:hideMark/>
          </w:tcPr>
          <w:p w14:paraId="4AF3AF92" w14:textId="77777777" w:rsidR="00A20361" w:rsidRPr="00DE6C9E" w:rsidRDefault="00A20361" w:rsidP="0048210B">
            <w:pPr>
              <w:jc w:val="center"/>
              <w:rPr>
                <w:sz w:val="20"/>
                <w:szCs w:val="20"/>
              </w:rPr>
            </w:pPr>
            <w:r w:rsidRPr="00DE6C9E">
              <w:rPr>
                <w:sz w:val="20"/>
                <w:szCs w:val="20"/>
              </w:rPr>
              <w:t>0.185</w:t>
            </w:r>
          </w:p>
        </w:tc>
        <w:tc>
          <w:tcPr>
            <w:tcW w:w="1302" w:type="dxa"/>
            <w:tcBorders>
              <w:top w:val="nil"/>
              <w:left w:val="nil"/>
              <w:bottom w:val="single" w:sz="8" w:space="0" w:color="auto"/>
              <w:right w:val="nil"/>
            </w:tcBorders>
            <w:shd w:val="clear" w:color="auto" w:fill="auto"/>
            <w:noWrap/>
            <w:vAlign w:val="bottom"/>
            <w:hideMark/>
          </w:tcPr>
          <w:p w14:paraId="01A34471" w14:textId="77777777" w:rsidR="00A20361" w:rsidRPr="00DE6C9E" w:rsidRDefault="00A20361" w:rsidP="0048210B">
            <w:pPr>
              <w:jc w:val="center"/>
              <w:rPr>
                <w:sz w:val="20"/>
                <w:szCs w:val="20"/>
              </w:rPr>
            </w:pPr>
            <w:r w:rsidRPr="00DE6C9E">
              <w:rPr>
                <w:sz w:val="20"/>
                <w:szCs w:val="20"/>
              </w:rPr>
              <w:t>0.302</w:t>
            </w:r>
          </w:p>
        </w:tc>
        <w:tc>
          <w:tcPr>
            <w:tcW w:w="1302" w:type="dxa"/>
            <w:tcBorders>
              <w:top w:val="nil"/>
              <w:left w:val="nil"/>
              <w:bottom w:val="single" w:sz="8" w:space="0" w:color="auto"/>
              <w:right w:val="nil"/>
            </w:tcBorders>
            <w:shd w:val="clear" w:color="auto" w:fill="auto"/>
            <w:noWrap/>
            <w:vAlign w:val="bottom"/>
            <w:hideMark/>
          </w:tcPr>
          <w:p w14:paraId="6F8552B4" w14:textId="77777777" w:rsidR="00A20361" w:rsidRPr="00DE6C9E" w:rsidRDefault="00A20361" w:rsidP="0048210B">
            <w:pPr>
              <w:jc w:val="center"/>
              <w:rPr>
                <w:sz w:val="20"/>
                <w:szCs w:val="20"/>
              </w:rPr>
            </w:pPr>
            <w:r w:rsidRPr="00DE6C9E">
              <w:rPr>
                <w:sz w:val="20"/>
                <w:szCs w:val="20"/>
              </w:rPr>
              <w:t>0.311</w:t>
            </w:r>
          </w:p>
        </w:tc>
        <w:tc>
          <w:tcPr>
            <w:tcW w:w="1302" w:type="dxa"/>
            <w:tcBorders>
              <w:top w:val="nil"/>
              <w:left w:val="nil"/>
              <w:bottom w:val="single" w:sz="8" w:space="0" w:color="auto"/>
              <w:right w:val="nil"/>
            </w:tcBorders>
            <w:shd w:val="clear" w:color="auto" w:fill="auto"/>
            <w:noWrap/>
            <w:vAlign w:val="bottom"/>
            <w:hideMark/>
          </w:tcPr>
          <w:p w14:paraId="68C2B14F" w14:textId="77777777" w:rsidR="00A20361" w:rsidRPr="00DE6C9E" w:rsidRDefault="00A20361" w:rsidP="0048210B">
            <w:pPr>
              <w:jc w:val="center"/>
              <w:rPr>
                <w:sz w:val="20"/>
                <w:szCs w:val="20"/>
              </w:rPr>
            </w:pPr>
            <w:r w:rsidRPr="00DE6C9E">
              <w:rPr>
                <w:sz w:val="20"/>
                <w:szCs w:val="20"/>
              </w:rPr>
              <w:t>0.287</w:t>
            </w:r>
          </w:p>
        </w:tc>
      </w:tr>
      <w:tr w:rsidR="00A20361" w:rsidRPr="005B294B" w14:paraId="6694A194" w14:textId="77777777" w:rsidTr="0048210B">
        <w:trPr>
          <w:trHeight w:val="285"/>
          <w:jc w:val="center"/>
        </w:trPr>
        <w:tc>
          <w:tcPr>
            <w:tcW w:w="2251" w:type="dxa"/>
            <w:tcBorders>
              <w:top w:val="single" w:sz="8" w:space="0" w:color="auto"/>
              <w:left w:val="nil"/>
              <w:bottom w:val="single" w:sz="4" w:space="0" w:color="auto"/>
              <w:right w:val="nil"/>
            </w:tcBorders>
            <w:shd w:val="clear" w:color="auto" w:fill="auto"/>
            <w:noWrap/>
            <w:vAlign w:val="center"/>
            <w:hideMark/>
          </w:tcPr>
          <w:p w14:paraId="2E2FF5DA" w14:textId="77777777" w:rsidR="00A20361" w:rsidRPr="00DE6C9E" w:rsidRDefault="00A20361" w:rsidP="0048210B">
            <w:pPr>
              <w:jc w:val="center"/>
              <w:rPr>
                <w:sz w:val="20"/>
                <w:szCs w:val="20"/>
              </w:rPr>
            </w:pPr>
            <w:r w:rsidRPr="00DE6C9E">
              <w:rPr>
                <w:sz w:val="20"/>
                <w:szCs w:val="20"/>
              </w:rPr>
              <w:t>First Stage</w:t>
            </w:r>
          </w:p>
        </w:tc>
        <w:tc>
          <w:tcPr>
            <w:tcW w:w="1484" w:type="dxa"/>
            <w:gridSpan w:val="2"/>
            <w:tcBorders>
              <w:top w:val="single" w:sz="8" w:space="0" w:color="auto"/>
              <w:left w:val="nil"/>
              <w:bottom w:val="single" w:sz="4" w:space="0" w:color="auto"/>
              <w:right w:val="nil"/>
            </w:tcBorders>
            <w:shd w:val="clear" w:color="auto" w:fill="auto"/>
            <w:noWrap/>
            <w:vAlign w:val="bottom"/>
            <w:hideMark/>
          </w:tcPr>
          <w:p w14:paraId="00F77927" w14:textId="77777777" w:rsidR="00A20361" w:rsidRPr="00DE6C9E" w:rsidRDefault="00A20361" w:rsidP="0048210B">
            <w:pPr>
              <w:jc w:val="center"/>
              <w:rPr>
                <w:sz w:val="20"/>
                <w:szCs w:val="20"/>
              </w:rPr>
            </w:pPr>
          </w:p>
        </w:tc>
        <w:tc>
          <w:tcPr>
            <w:tcW w:w="1302" w:type="dxa"/>
            <w:tcBorders>
              <w:top w:val="single" w:sz="8" w:space="0" w:color="auto"/>
              <w:left w:val="nil"/>
              <w:bottom w:val="single" w:sz="4" w:space="0" w:color="auto"/>
              <w:right w:val="nil"/>
            </w:tcBorders>
            <w:shd w:val="clear" w:color="auto" w:fill="auto"/>
            <w:noWrap/>
            <w:vAlign w:val="bottom"/>
            <w:hideMark/>
          </w:tcPr>
          <w:p w14:paraId="30EF6F30" w14:textId="77777777" w:rsidR="00A20361" w:rsidRPr="005B294B" w:rsidRDefault="00A20361" w:rsidP="0048210B">
            <w:pPr>
              <w:jc w:val="center"/>
              <w:rPr>
                <w:sz w:val="20"/>
                <w:szCs w:val="20"/>
              </w:rPr>
            </w:pPr>
          </w:p>
        </w:tc>
        <w:tc>
          <w:tcPr>
            <w:tcW w:w="1302" w:type="dxa"/>
            <w:tcBorders>
              <w:top w:val="single" w:sz="8" w:space="0" w:color="auto"/>
              <w:left w:val="nil"/>
              <w:bottom w:val="single" w:sz="4" w:space="0" w:color="auto"/>
              <w:right w:val="nil"/>
            </w:tcBorders>
            <w:shd w:val="clear" w:color="auto" w:fill="auto"/>
            <w:noWrap/>
            <w:vAlign w:val="bottom"/>
            <w:hideMark/>
          </w:tcPr>
          <w:p w14:paraId="6C8949BF" w14:textId="77777777" w:rsidR="00A20361" w:rsidRPr="005B294B" w:rsidRDefault="00A20361" w:rsidP="0048210B">
            <w:pPr>
              <w:jc w:val="center"/>
              <w:rPr>
                <w:sz w:val="20"/>
                <w:szCs w:val="20"/>
              </w:rPr>
            </w:pPr>
          </w:p>
        </w:tc>
        <w:tc>
          <w:tcPr>
            <w:tcW w:w="1302" w:type="dxa"/>
            <w:tcBorders>
              <w:top w:val="single" w:sz="8" w:space="0" w:color="auto"/>
              <w:left w:val="nil"/>
              <w:bottom w:val="single" w:sz="4" w:space="0" w:color="auto"/>
              <w:right w:val="nil"/>
            </w:tcBorders>
            <w:shd w:val="clear" w:color="auto" w:fill="auto"/>
            <w:noWrap/>
            <w:vAlign w:val="bottom"/>
            <w:hideMark/>
          </w:tcPr>
          <w:p w14:paraId="69DF0A66" w14:textId="77777777" w:rsidR="00A20361" w:rsidRPr="005B294B" w:rsidRDefault="00A20361" w:rsidP="0048210B">
            <w:pPr>
              <w:jc w:val="center"/>
              <w:rPr>
                <w:sz w:val="20"/>
                <w:szCs w:val="20"/>
              </w:rPr>
            </w:pPr>
          </w:p>
        </w:tc>
        <w:tc>
          <w:tcPr>
            <w:tcW w:w="1302" w:type="dxa"/>
            <w:tcBorders>
              <w:top w:val="single" w:sz="8" w:space="0" w:color="auto"/>
              <w:left w:val="nil"/>
              <w:bottom w:val="single" w:sz="4" w:space="0" w:color="auto"/>
              <w:right w:val="nil"/>
            </w:tcBorders>
            <w:shd w:val="clear" w:color="auto" w:fill="auto"/>
            <w:noWrap/>
            <w:vAlign w:val="bottom"/>
            <w:hideMark/>
          </w:tcPr>
          <w:p w14:paraId="2C9EE3C4" w14:textId="77777777" w:rsidR="00A20361" w:rsidRPr="005B294B" w:rsidRDefault="00A20361" w:rsidP="0048210B">
            <w:pPr>
              <w:jc w:val="center"/>
              <w:rPr>
                <w:sz w:val="20"/>
                <w:szCs w:val="20"/>
              </w:rPr>
            </w:pPr>
          </w:p>
        </w:tc>
      </w:tr>
      <w:tr w:rsidR="00A20361" w:rsidRPr="005B294B" w14:paraId="5824A526" w14:textId="77777777" w:rsidTr="0048210B">
        <w:trPr>
          <w:trHeight w:val="285"/>
          <w:jc w:val="center"/>
        </w:trPr>
        <w:tc>
          <w:tcPr>
            <w:tcW w:w="2251" w:type="dxa"/>
            <w:tcBorders>
              <w:top w:val="single" w:sz="4" w:space="0" w:color="auto"/>
              <w:left w:val="nil"/>
              <w:bottom w:val="nil"/>
              <w:right w:val="nil"/>
            </w:tcBorders>
            <w:shd w:val="clear" w:color="auto" w:fill="auto"/>
            <w:noWrap/>
            <w:vAlign w:val="center"/>
            <w:hideMark/>
          </w:tcPr>
          <w:p w14:paraId="6F07A0A0" w14:textId="77777777" w:rsidR="00A20361" w:rsidRPr="00DE6C9E" w:rsidRDefault="00A20361" w:rsidP="0048210B">
            <w:pPr>
              <w:rPr>
                <w:sz w:val="20"/>
                <w:szCs w:val="20"/>
              </w:rPr>
            </w:pPr>
            <w:r w:rsidRPr="00DE6C9E">
              <w:rPr>
                <w:sz w:val="20"/>
                <w:szCs w:val="20"/>
              </w:rPr>
              <w:t>Δ Import Exposure</w:t>
            </w:r>
            <w:r w:rsidRPr="00DE6C9E">
              <w:rPr>
                <w:rFonts w:hint="eastAsia"/>
                <w:sz w:val="20"/>
                <w:szCs w:val="20"/>
              </w:rPr>
              <w:t xml:space="preserve"> to OTH</w:t>
            </w:r>
          </w:p>
        </w:tc>
        <w:tc>
          <w:tcPr>
            <w:tcW w:w="1484" w:type="dxa"/>
            <w:gridSpan w:val="2"/>
            <w:tcBorders>
              <w:top w:val="single" w:sz="4" w:space="0" w:color="auto"/>
              <w:left w:val="nil"/>
              <w:bottom w:val="nil"/>
              <w:right w:val="nil"/>
            </w:tcBorders>
            <w:shd w:val="clear" w:color="auto" w:fill="auto"/>
            <w:noWrap/>
            <w:vAlign w:val="bottom"/>
            <w:hideMark/>
          </w:tcPr>
          <w:p w14:paraId="12AA0F9E" w14:textId="77777777" w:rsidR="00A20361" w:rsidRPr="00DE6C9E" w:rsidRDefault="00A20361" w:rsidP="0048210B">
            <w:pPr>
              <w:jc w:val="center"/>
              <w:rPr>
                <w:sz w:val="20"/>
                <w:szCs w:val="20"/>
              </w:rPr>
            </w:pPr>
            <w:r w:rsidRPr="00DE6C9E">
              <w:rPr>
                <w:sz w:val="20"/>
                <w:szCs w:val="20"/>
              </w:rPr>
              <w:t>0.664***</w:t>
            </w:r>
          </w:p>
        </w:tc>
        <w:tc>
          <w:tcPr>
            <w:tcW w:w="1302" w:type="dxa"/>
            <w:tcBorders>
              <w:top w:val="single" w:sz="4" w:space="0" w:color="auto"/>
              <w:left w:val="nil"/>
              <w:bottom w:val="nil"/>
              <w:right w:val="nil"/>
            </w:tcBorders>
            <w:shd w:val="clear" w:color="auto" w:fill="auto"/>
            <w:noWrap/>
            <w:vAlign w:val="bottom"/>
            <w:hideMark/>
          </w:tcPr>
          <w:p w14:paraId="2125CCAF" w14:textId="77777777" w:rsidR="00A20361" w:rsidRPr="00DE6C9E" w:rsidRDefault="00A20361" w:rsidP="0048210B">
            <w:pPr>
              <w:jc w:val="center"/>
              <w:rPr>
                <w:sz w:val="20"/>
                <w:szCs w:val="20"/>
              </w:rPr>
            </w:pPr>
            <w:r w:rsidRPr="00DE6C9E">
              <w:rPr>
                <w:sz w:val="20"/>
                <w:szCs w:val="20"/>
              </w:rPr>
              <w:t>0.652***</w:t>
            </w:r>
          </w:p>
        </w:tc>
        <w:tc>
          <w:tcPr>
            <w:tcW w:w="1302" w:type="dxa"/>
            <w:tcBorders>
              <w:top w:val="single" w:sz="4" w:space="0" w:color="auto"/>
              <w:left w:val="nil"/>
              <w:bottom w:val="nil"/>
              <w:right w:val="nil"/>
            </w:tcBorders>
            <w:shd w:val="clear" w:color="auto" w:fill="auto"/>
            <w:noWrap/>
            <w:vAlign w:val="bottom"/>
            <w:hideMark/>
          </w:tcPr>
          <w:p w14:paraId="422A1676" w14:textId="77777777" w:rsidR="00A20361" w:rsidRPr="00DE6C9E" w:rsidRDefault="00A20361" w:rsidP="0048210B">
            <w:pPr>
              <w:jc w:val="center"/>
              <w:rPr>
                <w:sz w:val="20"/>
                <w:szCs w:val="20"/>
              </w:rPr>
            </w:pPr>
            <w:r w:rsidRPr="00DE6C9E">
              <w:rPr>
                <w:sz w:val="20"/>
                <w:szCs w:val="20"/>
              </w:rPr>
              <w:t>0.631***</w:t>
            </w:r>
          </w:p>
        </w:tc>
        <w:tc>
          <w:tcPr>
            <w:tcW w:w="1302" w:type="dxa"/>
            <w:tcBorders>
              <w:top w:val="single" w:sz="4" w:space="0" w:color="auto"/>
              <w:left w:val="nil"/>
              <w:bottom w:val="nil"/>
              <w:right w:val="nil"/>
            </w:tcBorders>
            <w:shd w:val="clear" w:color="auto" w:fill="auto"/>
            <w:noWrap/>
            <w:vAlign w:val="bottom"/>
            <w:hideMark/>
          </w:tcPr>
          <w:p w14:paraId="63AC923E" w14:textId="77777777" w:rsidR="00A20361" w:rsidRPr="00DE6C9E" w:rsidRDefault="00A20361" w:rsidP="0048210B">
            <w:pPr>
              <w:jc w:val="center"/>
              <w:rPr>
                <w:sz w:val="20"/>
                <w:szCs w:val="20"/>
              </w:rPr>
            </w:pPr>
            <w:r w:rsidRPr="00DE6C9E">
              <w:rPr>
                <w:sz w:val="20"/>
                <w:szCs w:val="20"/>
              </w:rPr>
              <w:t>0.627***</w:t>
            </w:r>
          </w:p>
        </w:tc>
        <w:tc>
          <w:tcPr>
            <w:tcW w:w="1302" w:type="dxa"/>
            <w:tcBorders>
              <w:top w:val="single" w:sz="4" w:space="0" w:color="auto"/>
              <w:left w:val="nil"/>
              <w:bottom w:val="nil"/>
              <w:right w:val="nil"/>
            </w:tcBorders>
            <w:shd w:val="clear" w:color="auto" w:fill="auto"/>
            <w:noWrap/>
            <w:vAlign w:val="bottom"/>
            <w:hideMark/>
          </w:tcPr>
          <w:p w14:paraId="6E734B82" w14:textId="77777777" w:rsidR="00A20361" w:rsidRPr="00DE6C9E" w:rsidRDefault="00A20361" w:rsidP="0048210B">
            <w:pPr>
              <w:jc w:val="center"/>
              <w:rPr>
                <w:sz w:val="20"/>
                <w:szCs w:val="20"/>
              </w:rPr>
            </w:pPr>
            <w:r w:rsidRPr="00DE6C9E">
              <w:rPr>
                <w:sz w:val="20"/>
                <w:szCs w:val="20"/>
              </w:rPr>
              <w:t>0.632***</w:t>
            </w:r>
          </w:p>
        </w:tc>
      </w:tr>
      <w:tr w:rsidR="00A20361" w:rsidRPr="005B294B" w14:paraId="752C546B" w14:textId="77777777" w:rsidTr="0048210B">
        <w:trPr>
          <w:trHeight w:val="303"/>
          <w:jc w:val="center"/>
        </w:trPr>
        <w:tc>
          <w:tcPr>
            <w:tcW w:w="2251" w:type="dxa"/>
            <w:tcBorders>
              <w:top w:val="nil"/>
              <w:left w:val="nil"/>
              <w:bottom w:val="single" w:sz="8" w:space="0" w:color="auto"/>
              <w:right w:val="nil"/>
            </w:tcBorders>
            <w:shd w:val="clear" w:color="auto" w:fill="auto"/>
            <w:noWrap/>
            <w:vAlign w:val="center"/>
          </w:tcPr>
          <w:p w14:paraId="10E08470" w14:textId="77777777" w:rsidR="00A20361" w:rsidRPr="00DE6C9E" w:rsidRDefault="00A20361" w:rsidP="0048210B">
            <w:pPr>
              <w:rPr>
                <w:sz w:val="20"/>
                <w:szCs w:val="20"/>
              </w:rPr>
            </w:pPr>
          </w:p>
        </w:tc>
        <w:tc>
          <w:tcPr>
            <w:tcW w:w="1484" w:type="dxa"/>
            <w:gridSpan w:val="2"/>
            <w:tcBorders>
              <w:top w:val="nil"/>
              <w:left w:val="nil"/>
              <w:bottom w:val="single" w:sz="8" w:space="0" w:color="auto"/>
              <w:right w:val="nil"/>
            </w:tcBorders>
            <w:shd w:val="clear" w:color="auto" w:fill="auto"/>
            <w:noWrap/>
            <w:vAlign w:val="center"/>
          </w:tcPr>
          <w:p w14:paraId="10458A2B" w14:textId="77777777" w:rsidR="00A20361" w:rsidRPr="00DE6C9E" w:rsidRDefault="00A20361" w:rsidP="0048210B">
            <w:pPr>
              <w:jc w:val="center"/>
              <w:rPr>
                <w:sz w:val="20"/>
                <w:szCs w:val="20"/>
              </w:rPr>
            </w:pPr>
            <w:r w:rsidRPr="00DE6C9E">
              <w:rPr>
                <w:rFonts w:hint="eastAsia"/>
                <w:sz w:val="20"/>
                <w:szCs w:val="20"/>
              </w:rPr>
              <w:t>(0.089)</w:t>
            </w:r>
          </w:p>
        </w:tc>
        <w:tc>
          <w:tcPr>
            <w:tcW w:w="1302" w:type="dxa"/>
            <w:tcBorders>
              <w:top w:val="nil"/>
              <w:left w:val="nil"/>
              <w:bottom w:val="single" w:sz="8" w:space="0" w:color="auto"/>
              <w:right w:val="nil"/>
            </w:tcBorders>
            <w:shd w:val="clear" w:color="auto" w:fill="auto"/>
            <w:noWrap/>
            <w:vAlign w:val="center"/>
          </w:tcPr>
          <w:p w14:paraId="56D2400D" w14:textId="77777777" w:rsidR="00A20361" w:rsidRPr="00DE6C9E" w:rsidRDefault="00A20361" w:rsidP="0048210B">
            <w:pPr>
              <w:jc w:val="center"/>
              <w:rPr>
                <w:sz w:val="20"/>
                <w:szCs w:val="20"/>
              </w:rPr>
            </w:pPr>
            <w:r w:rsidRPr="00DE6C9E">
              <w:rPr>
                <w:rFonts w:hint="eastAsia"/>
                <w:sz w:val="20"/>
                <w:szCs w:val="20"/>
              </w:rPr>
              <w:t>(0.094)</w:t>
            </w:r>
          </w:p>
        </w:tc>
        <w:tc>
          <w:tcPr>
            <w:tcW w:w="1302" w:type="dxa"/>
            <w:tcBorders>
              <w:top w:val="nil"/>
              <w:left w:val="nil"/>
              <w:bottom w:val="single" w:sz="8" w:space="0" w:color="auto"/>
              <w:right w:val="nil"/>
            </w:tcBorders>
            <w:shd w:val="clear" w:color="auto" w:fill="auto"/>
            <w:noWrap/>
            <w:vAlign w:val="center"/>
          </w:tcPr>
          <w:p w14:paraId="5AF027E9" w14:textId="77777777" w:rsidR="00A20361" w:rsidRPr="00DE6C9E" w:rsidRDefault="00A20361" w:rsidP="0048210B">
            <w:pPr>
              <w:jc w:val="center"/>
              <w:rPr>
                <w:sz w:val="20"/>
                <w:szCs w:val="20"/>
              </w:rPr>
            </w:pPr>
            <w:r w:rsidRPr="00DE6C9E">
              <w:rPr>
                <w:rFonts w:hint="eastAsia"/>
                <w:sz w:val="20"/>
                <w:szCs w:val="20"/>
              </w:rPr>
              <w:t>(0.093)</w:t>
            </w:r>
          </w:p>
        </w:tc>
        <w:tc>
          <w:tcPr>
            <w:tcW w:w="1302" w:type="dxa"/>
            <w:tcBorders>
              <w:top w:val="nil"/>
              <w:left w:val="nil"/>
              <w:bottom w:val="single" w:sz="8" w:space="0" w:color="auto"/>
              <w:right w:val="nil"/>
            </w:tcBorders>
            <w:shd w:val="clear" w:color="auto" w:fill="auto"/>
            <w:noWrap/>
            <w:vAlign w:val="center"/>
          </w:tcPr>
          <w:p w14:paraId="4A37F2C8" w14:textId="77777777" w:rsidR="00A20361" w:rsidRPr="00DE6C9E" w:rsidRDefault="00A20361" w:rsidP="0048210B">
            <w:pPr>
              <w:jc w:val="center"/>
              <w:rPr>
                <w:sz w:val="20"/>
                <w:szCs w:val="20"/>
              </w:rPr>
            </w:pPr>
            <w:r w:rsidRPr="00DE6C9E">
              <w:rPr>
                <w:rFonts w:hint="eastAsia"/>
                <w:sz w:val="20"/>
                <w:szCs w:val="20"/>
              </w:rPr>
              <w:t>(0.095)</w:t>
            </w:r>
          </w:p>
        </w:tc>
        <w:tc>
          <w:tcPr>
            <w:tcW w:w="1302" w:type="dxa"/>
            <w:tcBorders>
              <w:top w:val="nil"/>
              <w:left w:val="nil"/>
              <w:bottom w:val="single" w:sz="8" w:space="0" w:color="auto"/>
              <w:right w:val="nil"/>
            </w:tcBorders>
            <w:shd w:val="clear" w:color="auto" w:fill="auto"/>
            <w:noWrap/>
            <w:vAlign w:val="center"/>
          </w:tcPr>
          <w:p w14:paraId="5F69B407" w14:textId="77777777" w:rsidR="00A20361" w:rsidRPr="00DE6C9E" w:rsidRDefault="00A20361" w:rsidP="0048210B">
            <w:pPr>
              <w:jc w:val="center"/>
              <w:rPr>
                <w:sz w:val="20"/>
                <w:szCs w:val="20"/>
              </w:rPr>
            </w:pPr>
            <w:r w:rsidRPr="00DE6C9E">
              <w:rPr>
                <w:rFonts w:hint="eastAsia"/>
                <w:sz w:val="20"/>
                <w:szCs w:val="20"/>
              </w:rPr>
              <w:t>(0.090)</w:t>
            </w:r>
          </w:p>
        </w:tc>
      </w:tr>
      <w:tr w:rsidR="00A20361" w:rsidRPr="005B294B" w14:paraId="4EBB0924" w14:textId="77777777" w:rsidTr="0048210B">
        <w:trPr>
          <w:trHeight w:val="303"/>
          <w:jc w:val="center"/>
        </w:trPr>
        <w:tc>
          <w:tcPr>
            <w:tcW w:w="2251" w:type="dxa"/>
            <w:tcBorders>
              <w:top w:val="nil"/>
              <w:left w:val="nil"/>
              <w:bottom w:val="single" w:sz="8" w:space="0" w:color="auto"/>
              <w:right w:val="nil"/>
            </w:tcBorders>
            <w:shd w:val="clear" w:color="auto" w:fill="auto"/>
            <w:noWrap/>
            <w:vAlign w:val="center"/>
            <w:hideMark/>
          </w:tcPr>
          <w:p w14:paraId="40AF91F2" w14:textId="77777777" w:rsidR="00A20361" w:rsidRPr="00DE6C9E" w:rsidRDefault="00A20361" w:rsidP="0048210B">
            <w:pPr>
              <w:rPr>
                <w:sz w:val="20"/>
                <w:szCs w:val="20"/>
              </w:rPr>
            </w:pPr>
            <w:r w:rsidRPr="00DE6C9E">
              <w:rPr>
                <w:sz w:val="20"/>
                <w:szCs w:val="20"/>
              </w:rPr>
              <w:t>F-Statistic</w:t>
            </w:r>
          </w:p>
        </w:tc>
        <w:tc>
          <w:tcPr>
            <w:tcW w:w="1484" w:type="dxa"/>
            <w:gridSpan w:val="2"/>
            <w:tcBorders>
              <w:top w:val="nil"/>
              <w:left w:val="nil"/>
              <w:bottom w:val="single" w:sz="8" w:space="0" w:color="auto"/>
              <w:right w:val="nil"/>
            </w:tcBorders>
            <w:shd w:val="clear" w:color="auto" w:fill="auto"/>
            <w:noWrap/>
            <w:vAlign w:val="center"/>
            <w:hideMark/>
          </w:tcPr>
          <w:p w14:paraId="2A7EBB2B" w14:textId="77777777" w:rsidR="00A20361" w:rsidRPr="00DE6C9E" w:rsidRDefault="00A20361" w:rsidP="0048210B">
            <w:pPr>
              <w:jc w:val="center"/>
              <w:rPr>
                <w:sz w:val="20"/>
                <w:szCs w:val="20"/>
              </w:rPr>
            </w:pPr>
            <w:r w:rsidRPr="00DE6C9E">
              <w:rPr>
                <w:sz w:val="20"/>
                <w:szCs w:val="20"/>
              </w:rPr>
              <w:t>55.5</w:t>
            </w:r>
          </w:p>
        </w:tc>
        <w:tc>
          <w:tcPr>
            <w:tcW w:w="1302" w:type="dxa"/>
            <w:tcBorders>
              <w:top w:val="nil"/>
              <w:left w:val="nil"/>
              <w:bottom w:val="single" w:sz="8" w:space="0" w:color="auto"/>
              <w:right w:val="nil"/>
            </w:tcBorders>
            <w:shd w:val="clear" w:color="auto" w:fill="auto"/>
            <w:noWrap/>
            <w:vAlign w:val="center"/>
            <w:hideMark/>
          </w:tcPr>
          <w:p w14:paraId="5ADF3AAF" w14:textId="77777777" w:rsidR="00A20361" w:rsidRPr="00DE6C9E" w:rsidRDefault="00A20361" w:rsidP="0048210B">
            <w:pPr>
              <w:jc w:val="center"/>
              <w:rPr>
                <w:sz w:val="20"/>
                <w:szCs w:val="20"/>
              </w:rPr>
            </w:pPr>
            <w:r w:rsidRPr="00DE6C9E">
              <w:rPr>
                <w:sz w:val="20"/>
                <w:szCs w:val="20"/>
              </w:rPr>
              <w:t>48.39</w:t>
            </w:r>
          </w:p>
        </w:tc>
        <w:tc>
          <w:tcPr>
            <w:tcW w:w="1302" w:type="dxa"/>
            <w:tcBorders>
              <w:top w:val="nil"/>
              <w:left w:val="nil"/>
              <w:bottom w:val="single" w:sz="8" w:space="0" w:color="auto"/>
              <w:right w:val="nil"/>
            </w:tcBorders>
            <w:shd w:val="clear" w:color="auto" w:fill="auto"/>
            <w:noWrap/>
            <w:vAlign w:val="center"/>
            <w:hideMark/>
          </w:tcPr>
          <w:p w14:paraId="40DB3227" w14:textId="77777777" w:rsidR="00A20361" w:rsidRPr="00DE6C9E" w:rsidRDefault="00A20361" w:rsidP="0048210B">
            <w:pPr>
              <w:jc w:val="center"/>
              <w:rPr>
                <w:sz w:val="20"/>
                <w:szCs w:val="20"/>
              </w:rPr>
            </w:pPr>
            <w:r w:rsidRPr="00DE6C9E">
              <w:rPr>
                <w:sz w:val="20"/>
                <w:szCs w:val="20"/>
              </w:rPr>
              <w:t>45.76</w:t>
            </w:r>
          </w:p>
        </w:tc>
        <w:tc>
          <w:tcPr>
            <w:tcW w:w="1302" w:type="dxa"/>
            <w:tcBorders>
              <w:top w:val="nil"/>
              <w:left w:val="nil"/>
              <w:bottom w:val="single" w:sz="8" w:space="0" w:color="auto"/>
              <w:right w:val="nil"/>
            </w:tcBorders>
            <w:shd w:val="clear" w:color="auto" w:fill="auto"/>
            <w:noWrap/>
            <w:vAlign w:val="center"/>
            <w:hideMark/>
          </w:tcPr>
          <w:p w14:paraId="341FCF32" w14:textId="77777777" w:rsidR="00A20361" w:rsidRPr="00DE6C9E" w:rsidRDefault="00A20361" w:rsidP="0048210B">
            <w:pPr>
              <w:jc w:val="center"/>
              <w:rPr>
                <w:sz w:val="20"/>
                <w:szCs w:val="20"/>
              </w:rPr>
            </w:pPr>
            <w:r w:rsidRPr="00DE6C9E">
              <w:rPr>
                <w:sz w:val="20"/>
                <w:szCs w:val="20"/>
              </w:rPr>
              <w:t>43.41</w:t>
            </w:r>
          </w:p>
        </w:tc>
        <w:tc>
          <w:tcPr>
            <w:tcW w:w="1302" w:type="dxa"/>
            <w:tcBorders>
              <w:top w:val="nil"/>
              <w:left w:val="nil"/>
              <w:bottom w:val="single" w:sz="8" w:space="0" w:color="auto"/>
              <w:right w:val="nil"/>
            </w:tcBorders>
            <w:shd w:val="clear" w:color="auto" w:fill="auto"/>
            <w:noWrap/>
            <w:vAlign w:val="center"/>
            <w:hideMark/>
          </w:tcPr>
          <w:p w14:paraId="435C8083" w14:textId="77777777" w:rsidR="00A20361" w:rsidRPr="00DE6C9E" w:rsidRDefault="00A20361" w:rsidP="0048210B">
            <w:pPr>
              <w:jc w:val="center"/>
              <w:rPr>
                <w:sz w:val="20"/>
                <w:szCs w:val="20"/>
              </w:rPr>
            </w:pPr>
            <w:r w:rsidRPr="00DE6C9E">
              <w:rPr>
                <w:sz w:val="20"/>
                <w:szCs w:val="20"/>
              </w:rPr>
              <w:t>49.77</w:t>
            </w:r>
          </w:p>
        </w:tc>
      </w:tr>
    </w:tbl>
    <w:p w14:paraId="67A59628" w14:textId="49E0B3DF" w:rsidR="00D030D7" w:rsidRPr="00AB5C7C" w:rsidRDefault="00A20361" w:rsidP="00D030D7">
      <w:pPr>
        <w:jc w:val="both"/>
        <w:rPr>
          <w:rFonts w:ascii="Times" w:hAnsi="Times" w:cs="Times"/>
          <w:color w:val="000000"/>
          <w:sz w:val="21"/>
          <w:szCs w:val="21"/>
        </w:rPr>
      </w:pPr>
      <w:r w:rsidRPr="00AB5C7C">
        <w:rPr>
          <w:rFonts w:ascii="Times" w:hAnsi="Times" w:cs="Times"/>
          <w:color w:val="000000"/>
          <w:sz w:val="21"/>
          <w:szCs w:val="21"/>
        </w:rPr>
        <w:t>Notes: Control variable</w:t>
      </w:r>
      <w:r w:rsidRPr="00AB5C7C">
        <w:rPr>
          <w:rFonts w:ascii="Times" w:hAnsi="Times" w:cs="Times" w:hint="eastAsia"/>
          <w:color w:val="000000"/>
          <w:sz w:val="21"/>
          <w:szCs w:val="21"/>
        </w:rPr>
        <w:t>s</w:t>
      </w:r>
      <w:r w:rsidRPr="00AB5C7C">
        <w:rPr>
          <w:rFonts w:ascii="Times" w:hAnsi="Times" w:cs="Times"/>
          <w:color w:val="000000"/>
          <w:sz w:val="21"/>
          <w:szCs w:val="21"/>
        </w:rPr>
        <w:t xml:space="preserve"> </w:t>
      </w:r>
      <w:r w:rsidRPr="00AB5C7C">
        <w:rPr>
          <w:rFonts w:ascii="Times" w:hAnsi="Times" w:cs="Times" w:hint="eastAsia"/>
          <w:color w:val="000000"/>
          <w:sz w:val="21"/>
          <w:szCs w:val="21"/>
        </w:rPr>
        <w:t xml:space="preserve">also </w:t>
      </w:r>
      <w:r w:rsidRPr="00AB5C7C">
        <w:rPr>
          <w:rFonts w:ascii="Times" w:hAnsi="Times" w:cs="Times"/>
          <w:color w:val="000000"/>
          <w:sz w:val="21"/>
          <w:szCs w:val="21"/>
        </w:rPr>
        <w:t>include a “2000-2007” time dummy. Robust standard errors in parentheses are clustered on CZ. Models are weighted by start of period CZ share of national population.</w:t>
      </w:r>
      <w:r w:rsidR="00D030D7" w:rsidRPr="00AB5C7C">
        <w:rPr>
          <w:rFonts w:ascii="Times" w:hAnsi="Times" w:cs="Times"/>
          <w:color w:val="000000"/>
          <w:sz w:val="21"/>
          <w:szCs w:val="21"/>
        </w:rPr>
        <w:t xml:space="preserve"> * p&lt;0.05, ** p&lt;0.01, *** p&lt;0.001</w:t>
      </w:r>
    </w:p>
    <w:p w14:paraId="337969DB" w14:textId="567E6475" w:rsidR="00A20361" w:rsidRPr="005B294B" w:rsidRDefault="00A20361" w:rsidP="00A20361">
      <w:pPr>
        <w:widowControl w:val="0"/>
        <w:autoSpaceDE w:val="0"/>
        <w:autoSpaceDN w:val="0"/>
        <w:adjustRightInd w:val="0"/>
        <w:spacing w:after="240"/>
        <w:jc w:val="both"/>
        <w:rPr>
          <w:rFonts w:ascii="Times" w:hAnsi="Times" w:cs="Times"/>
          <w:i/>
          <w:iCs/>
          <w:color w:val="000000"/>
          <w:sz w:val="21"/>
          <w:szCs w:val="21"/>
        </w:rPr>
      </w:pPr>
    </w:p>
    <w:p w14:paraId="53DECA07" w14:textId="77777777" w:rsidR="00A20361" w:rsidRPr="005B294B" w:rsidRDefault="00A20361" w:rsidP="00A20361">
      <w:pPr>
        <w:rPr>
          <w:rFonts w:ascii="Times" w:hAnsi="Times" w:cs="Times"/>
          <w:color w:val="000000"/>
        </w:rPr>
      </w:pPr>
    </w:p>
    <w:p w14:paraId="58F5742A" w14:textId="77777777" w:rsidR="00DE6C9E" w:rsidRDefault="00DE6C9E">
      <w:pPr>
        <w:rPr>
          <w:rFonts w:ascii="Times" w:hAnsi="Times" w:cs="Times"/>
          <w:color w:val="000000"/>
        </w:rPr>
      </w:pPr>
      <w:r>
        <w:rPr>
          <w:rFonts w:ascii="Times" w:hAnsi="Times" w:cs="Times"/>
          <w:color w:val="000000"/>
        </w:rPr>
        <w:br w:type="page"/>
      </w:r>
    </w:p>
    <w:p w14:paraId="24F955B9" w14:textId="401AA33F" w:rsidR="00A20361" w:rsidRPr="00841E1D" w:rsidRDefault="00A20361" w:rsidP="00841E1D">
      <w:pPr>
        <w:rPr>
          <w:rFonts w:ascii="Times" w:hAnsi="Times" w:cs="Times"/>
          <w:b/>
          <w:bCs/>
          <w:color w:val="000000"/>
        </w:rPr>
      </w:pPr>
      <w:r w:rsidRPr="00841E1D">
        <w:rPr>
          <w:rFonts w:ascii="Times" w:hAnsi="Times" w:cs="Times"/>
          <w:b/>
          <w:bCs/>
          <w:color w:val="000000"/>
        </w:rPr>
        <w:lastRenderedPageBreak/>
        <w:t xml:space="preserve">Table 4 Import from China and per-pupil revenue from different sources </w:t>
      </w:r>
      <w:r w:rsidRPr="00841E1D">
        <w:rPr>
          <w:rFonts w:ascii="Times" w:hAnsi="Times" w:cs="Times" w:hint="eastAsia"/>
          <w:b/>
          <w:bCs/>
          <w:color w:val="000000"/>
        </w:rPr>
        <w:t xml:space="preserve">and enrollment </w:t>
      </w:r>
      <w:r w:rsidRPr="00841E1D">
        <w:rPr>
          <w:rFonts w:ascii="Times" w:hAnsi="Times" w:cs="Times"/>
          <w:b/>
          <w:bCs/>
          <w:color w:val="000000"/>
        </w:rPr>
        <w:t>within CZs, 1990-2007, 2SLS</w:t>
      </w:r>
    </w:p>
    <w:p w14:paraId="0C5A5242" w14:textId="77777777" w:rsidR="00A20361" w:rsidRPr="005B294B" w:rsidRDefault="00A20361" w:rsidP="00A20361">
      <w:pPr>
        <w:jc w:val="center"/>
        <w:rPr>
          <w:rFonts w:ascii="Times" w:hAnsi="Times" w:cs="Times"/>
          <w:color w:val="000000"/>
        </w:rPr>
      </w:pPr>
      <w:r w:rsidRPr="005B294B">
        <w:rPr>
          <w:rFonts w:ascii="Times" w:hAnsi="Times" w:cs="Times"/>
          <w:color w:val="000000"/>
        </w:rPr>
        <w:t>Dependent Variable: Ten-year equivalent changes in per-pupil revenue from different sources / $1000</w:t>
      </w:r>
    </w:p>
    <w:p w14:paraId="00125C5D" w14:textId="77777777" w:rsidR="00A20361" w:rsidRPr="005B294B" w:rsidRDefault="00A20361" w:rsidP="00A20361">
      <w:pPr>
        <w:jc w:val="center"/>
        <w:rPr>
          <w:rFonts w:ascii="Times" w:hAnsi="Times" w:cs="Times"/>
          <w:color w:val="000000"/>
        </w:rPr>
      </w:pPr>
    </w:p>
    <w:tbl>
      <w:tblPr>
        <w:tblW w:w="9450" w:type="dxa"/>
        <w:jc w:val="center"/>
        <w:tblLayout w:type="fixed"/>
        <w:tblCellMar>
          <w:left w:w="75" w:type="dxa"/>
          <w:right w:w="75" w:type="dxa"/>
        </w:tblCellMar>
        <w:tblLook w:val="0000" w:firstRow="0" w:lastRow="0" w:firstColumn="0" w:lastColumn="0" w:noHBand="0" w:noVBand="0"/>
      </w:tblPr>
      <w:tblGrid>
        <w:gridCol w:w="3121"/>
        <w:gridCol w:w="1193"/>
        <w:gridCol w:w="1626"/>
        <w:gridCol w:w="1890"/>
        <w:gridCol w:w="1620"/>
      </w:tblGrid>
      <w:tr w:rsidR="00A20361" w:rsidRPr="00DE6C9E" w14:paraId="364F161A" w14:textId="77777777" w:rsidTr="0048210B">
        <w:trPr>
          <w:trHeight w:val="85"/>
          <w:jc w:val="center"/>
        </w:trPr>
        <w:tc>
          <w:tcPr>
            <w:tcW w:w="3121" w:type="dxa"/>
            <w:tcBorders>
              <w:top w:val="single" w:sz="6" w:space="0" w:color="auto"/>
              <w:left w:val="nil"/>
              <w:bottom w:val="single" w:sz="4" w:space="0" w:color="auto"/>
              <w:right w:val="nil"/>
            </w:tcBorders>
          </w:tcPr>
          <w:p w14:paraId="5B6DF99B" w14:textId="77777777" w:rsidR="00A20361" w:rsidRPr="00DE6C9E" w:rsidRDefault="00A20361" w:rsidP="0048210B">
            <w:pPr>
              <w:widowControl w:val="0"/>
              <w:autoSpaceDE w:val="0"/>
              <w:autoSpaceDN w:val="0"/>
              <w:adjustRightInd w:val="0"/>
              <w:rPr>
                <w:sz w:val="20"/>
                <w:szCs w:val="20"/>
              </w:rPr>
            </w:pPr>
          </w:p>
        </w:tc>
        <w:tc>
          <w:tcPr>
            <w:tcW w:w="1193" w:type="dxa"/>
            <w:tcBorders>
              <w:top w:val="single" w:sz="6" w:space="0" w:color="auto"/>
              <w:left w:val="nil"/>
              <w:bottom w:val="single" w:sz="4" w:space="0" w:color="auto"/>
              <w:right w:val="nil"/>
            </w:tcBorders>
          </w:tcPr>
          <w:p w14:paraId="250D9464"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 xml:space="preserve">(1)                  </w:t>
            </w:r>
            <m:oMath>
              <m:r>
                <m:rPr>
                  <m:sty m:val="p"/>
                </m:rPr>
                <w:rPr>
                  <w:rFonts w:ascii="Cambria Math" w:hAnsi="Cambria Math"/>
                  <w:sz w:val="20"/>
                  <w:szCs w:val="20"/>
                </w:rPr>
                <m:t>∆</m:t>
              </m:r>
            </m:oMath>
            <w:r w:rsidRPr="00DE6C9E">
              <w:rPr>
                <w:sz w:val="20"/>
                <w:szCs w:val="20"/>
              </w:rPr>
              <w:t xml:space="preserve">Total      </w:t>
            </w:r>
          </w:p>
        </w:tc>
        <w:tc>
          <w:tcPr>
            <w:tcW w:w="1626" w:type="dxa"/>
            <w:tcBorders>
              <w:top w:val="single" w:sz="6" w:space="0" w:color="auto"/>
              <w:left w:val="nil"/>
              <w:bottom w:val="single" w:sz="4" w:space="0" w:color="auto"/>
              <w:right w:val="nil"/>
            </w:tcBorders>
          </w:tcPr>
          <w:p w14:paraId="150282B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(2)</w:t>
            </w:r>
            <m:oMath>
              <m:r>
                <m:rPr>
                  <m:sty m:val="p"/>
                </m:rPr>
                <w:rPr>
                  <w:rFonts w:ascii="Cambria Math" w:hAnsi="Cambria Math"/>
                  <w:sz w:val="20"/>
                  <w:szCs w:val="20"/>
                </w:rPr>
                <m:t xml:space="preserve"> </m:t>
              </m:r>
            </m:oMath>
          </w:p>
          <w:p w14:paraId="1C5D7DC6"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Local Source</w:t>
            </w:r>
          </w:p>
        </w:tc>
        <w:tc>
          <w:tcPr>
            <w:tcW w:w="1890" w:type="dxa"/>
            <w:tcBorders>
              <w:top w:val="single" w:sz="6" w:space="0" w:color="auto"/>
              <w:left w:val="nil"/>
              <w:bottom w:val="single" w:sz="4" w:space="0" w:color="auto"/>
              <w:right w:val="nil"/>
            </w:tcBorders>
          </w:tcPr>
          <w:p w14:paraId="49AEDFDC"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m:oMath>
              <m:r>
                <m:rPr>
                  <m:sty m:val="p"/>
                </m:rPr>
                <w:rPr>
                  <w:rFonts w:ascii="Cambria Math" w:hAnsi="Cambria Math"/>
                  <w:sz w:val="20"/>
                  <w:szCs w:val="20"/>
                </w:rPr>
                <m:t xml:space="preserve"> </m:t>
              </m:r>
            </m:oMath>
          </w:p>
          <w:p w14:paraId="54CEC6F9" w14:textId="6DB8C293"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Federal Source</w:t>
            </w:r>
          </w:p>
        </w:tc>
        <w:tc>
          <w:tcPr>
            <w:tcW w:w="1620" w:type="dxa"/>
            <w:tcBorders>
              <w:top w:val="single" w:sz="6" w:space="0" w:color="auto"/>
              <w:left w:val="nil"/>
              <w:bottom w:val="single" w:sz="4" w:space="0" w:color="auto"/>
              <w:right w:val="nil"/>
            </w:tcBorders>
          </w:tcPr>
          <w:p w14:paraId="1BB4264F"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(4)</w:t>
            </w:r>
          </w:p>
          <w:p w14:paraId="692E7518"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 xml:space="preserve"> ∆</m:t>
              </m:r>
            </m:oMath>
            <w:r w:rsidRPr="00DE6C9E">
              <w:rPr>
                <w:sz w:val="20"/>
                <w:szCs w:val="20"/>
              </w:rPr>
              <w:t xml:space="preserve">State Source </w:t>
            </w:r>
          </w:p>
        </w:tc>
      </w:tr>
      <w:tr w:rsidR="00A20361" w:rsidRPr="00DE6C9E" w14:paraId="4116086A" w14:textId="77777777" w:rsidTr="0048210B">
        <w:trPr>
          <w:trHeight w:val="338"/>
          <w:jc w:val="center"/>
        </w:trPr>
        <w:tc>
          <w:tcPr>
            <w:tcW w:w="3121" w:type="dxa"/>
            <w:tcBorders>
              <w:top w:val="single" w:sz="4" w:space="0" w:color="auto"/>
              <w:left w:val="nil"/>
              <w:bottom w:val="nil"/>
              <w:right w:val="nil"/>
            </w:tcBorders>
          </w:tcPr>
          <w:p w14:paraId="130FAB01" w14:textId="77777777" w:rsidR="00A20361" w:rsidRPr="00DE6C9E" w:rsidRDefault="00A20361" w:rsidP="0048210B">
            <w:pPr>
              <w:widowControl w:val="0"/>
              <w:autoSpaceDE w:val="0"/>
              <w:autoSpaceDN w:val="0"/>
              <w:adjustRightInd w:val="0"/>
              <w:rPr>
                <w:sz w:val="20"/>
                <w:szCs w:val="20"/>
              </w:rPr>
            </w:pPr>
          </w:p>
        </w:tc>
        <w:tc>
          <w:tcPr>
            <w:tcW w:w="1193" w:type="dxa"/>
            <w:tcBorders>
              <w:top w:val="single" w:sz="4" w:space="0" w:color="auto"/>
              <w:left w:val="nil"/>
              <w:bottom w:val="nil"/>
              <w:right w:val="nil"/>
            </w:tcBorders>
          </w:tcPr>
          <w:p w14:paraId="5B200ABF" w14:textId="77777777" w:rsidR="00A20361" w:rsidRPr="00DE6C9E" w:rsidRDefault="00A20361" w:rsidP="0048210B">
            <w:pPr>
              <w:widowControl w:val="0"/>
              <w:autoSpaceDE w:val="0"/>
              <w:autoSpaceDN w:val="0"/>
              <w:adjustRightInd w:val="0"/>
              <w:jc w:val="center"/>
              <w:rPr>
                <w:sz w:val="20"/>
                <w:szCs w:val="20"/>
              </w:rPr>
            </w:pPr>
          </w:p>
        </w:tc>
        <w:tc>
          <w:tcPr>
            <w:tcW w:w="1626" w:type="dxa"/>
            <w:tcBorders>
              <w:top w:val="single" w:sz="4" w:space="0" w:color="auto"/>
              <w:left w:val="nil"/>
              <w:bottom w:val="nil"/>
              <w:right w:val="nil"/>
            </w:tcBorders>
          </w:tcPr>
          <w:p w14:paraId="774922DE" w14:textId="77777777" w:rsidR="00A20361" w:rsidRPr="00DE6C9E" w:rsidRDefault="00A20361" w:rsidP="0048210B">
            <w:pPr>
              <w:widowControl w:val="0"/>
              <w:autoSpaceDE w:val="0"/>
              <w:autoSpaceDN w:val="0"/>
              <w:adjustRightInd w:val="0"/>
              <w:jc w:val="center"/>
              <w:rPr>
                <w:sz w:val="20"/>
                <w:szCs w:val="20"/>
              </w:rPr>
            </w:pPr>
          </w:p>
        </w:tc>
        <w:tc>
          <w:tcPr>
            <w:tcW w:w="1890" w:type="dxa"/>
            <w:tcBorders>
              <w:top w:val="single" w:sz="4" w:space="0" w:color="auto"/>
              <w:left w:val="nil"/>
              <w:bottom w:val="nil"/>
              <w:right w:val="nil"/>
            </w:tcBorders>
          </w:tcPr>
          <w:p w14:paraId="4BCB848D" w14:textId="77777777" w:rsidR="00A20361" w:rsidRPr="00DE6C9E" w:rsidRDefault="00A20361" w:rsidP="0048210B">
            <w:pPr>
              <w:widowControl w:val="0"/>
              <w:autoSpaceDE w:val="0"/>
              <w:autoSpaceDN w:val="0"/>
              <w:adjustRightInd w:val="0"/>
              <w:jc w:val="center"/>
              <w:rPr>
                <w:sz w:val="20"/>
                <w:szCs w:val="20"/>
              </w:rPr>
            </w:pPr>
          </w:p>
        </w:tc>
        <w:tc>
          <w:tcPr>
            <w:tcW w:w="1620" w:type="dxa"/>
            <w:tcBorders>
              <w:top w:val="single" w:sz="4" w:space="0" w:color="auto"/>
              <w:left w:val="nil"/>
              <w:bottom w:val="nil"/>
              <w:right w:val="nil"/>
            </w:tcBorders>
          </w:tcPr>
          <w:p w14:paraId="59A8F042" w14:textId="77777777" w:rsidR="00A20361" w:rsidRPr="00DE6C9E" w:rsidRDefault="00A20361" w:rsidP="0048210B">
            <w:pPr>
              <w:widowControl w:val="0"/>
              <w:autoSpaceDE w:val="0"/>
              <w:autoSpaceDN w:val="0"/>
              <w:adjustRightInd w:val="0"/>
              <w:jc w:val="center"/>
              <w:rPr>
                <w:sz w:val="20"/>
                <w:szCs w:val="20"/>
              </w:rPr>
            </w:pPr>
          </w:p>
        </w:tc>
      </w:tr>
      <w:tr w:rsidR="00A20361" w:rsidRPr="00DE6C9E" w14:paraId="1F8C887E" w14:textId="77777777" w:rsidTr="0048210B">
        <w:trPr>
          <w:trHeight w:val="285"/>
          <w:jc w:val="center"/>
        </w:trPr>
        <w:tc>
          <w:tcPr>
            <w:tcW w:w="3121" w:type="dxa"/>
            <w:tcBorders>
              <w:top w:val="nil"/>
              <w:left w:val="nil"/>
              <w:bottom w:val="nil"/>
              <w:right w:val="nil"/>
            </w:tcBorders>
          </w:tcPr>
          <w:p w14:paraId="054DAEB1" w14:textId="77777777" w:rsidR="00A20361" w:rsidRPr="00DE6C9E" w:rsidRDefault="00157748" w:rsidP="0048210B">
            <w:pPr>
              <w:widowControl w:val="0"/>
              <w:autoSpaceDE w:val="0"/>
              <w:autoSpaceDN w:val="0"/>
              <w:adjustRightInd w:val="0"/>
              <w:rPr>
                <w:sz w:val="20"/>
                <w:szCs w:val="20"/>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193" w:type="dxa"/>
            <w:tcBorders>
              <w:top w:val="nil"/>
              <w:left w:val="nil"/>
              <w:bottom w:val="nil"/>
              <w:right w:val="nil"/>
            </w:tcBorders>
          </w:tcPr>
          <w:p w14:paraId="10336A29"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-0.250</w:t>
            </w:r>
            <w:r w:rsidRPr="00DE6C9E">
              <w:rPr>
                <w:rFonts w:hint="eastAsia"/>
                <w:sz w:val="20"/>
                <w:szCs w:val="20"/>
              </w:rPr>
              <w:t>*</w:t>
            </w:r>
            <w:r w:rsidRPr="00DE6C9E">
              <w:rPr>
                <w:sz w:val="20"/>
                <w:szCs w:val="20"/>
              </w:rPr>
              <w:t xml:space="preserve">**                                 </w:t>
            </w:r>
          </w:p>
        </w:tc>
        <w:tc>
          <w:tcPr>
            <w:tcW w:w="1626" w:type="dxa"/>
            <w:tcBorders>
              <w:top w:val="nil"/>
              <w:left w:val="nil"/>
              <w:bottom w:val="nil"/>
              <w:right w:val="nil"/>
            </w:tcBorders>
          </w:tcPr>
          <w:p w14:paraId="1F7C60AB"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-0.064</w:t>
            </w:r>
          </w:p>
        </w:tc>
        <w:tc>
          <w:tcPr>
            <w:tcW w:w="1890" w:type="dxa"/>
            <w:tcBorders>
              <w:top w:val="nil"/>
              <w:left w:val="nil"/>
              <w:bottom w:val="nil"/>
              <w:right w:val="nil"/>
            </w:tcBorders>
          </w:tcPr>
          <w:p w14:paraId="01953553"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-0.002</w:t>
            </w:r>
          </w:p>
        </w:tc>
        <w:tc>
          <w:tcPr>
            <w:tcW w:w="1620" w:type="dxa"/>
            <w:tcBorders>
              <w:top w:val="nil"/>
              <w:left w:val="nil"/>
              <w:bottom w:val="nil"/>
              <w:right w:val="nil"/>
            </w:tcBorders>
          </w:tcPr>
          <w:p w14:paraId="542B6347"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-0.183**</w:t>
            </w:r>
          </w:p>
        </w:tc>
      </w:tr>
      <w:tr w:rsidR="00A20361" w:rsidRPr="00DE6C9E" w14:paraId="405D41E3" w14:textId="77777777" w:rsidTr="0048210B">
        <w:trPr>
          <w:trHeight w:val="285"/>
          <w:jc w:val="center"/>
        </w:trPr>
        <w:tc>
          <w:tcPr>
            <w:tcW w:w="3121" w:type="dxa"/>
            <w:tcBorders>
              <w:top w:val="nil"/>
              <w:left w:val="nil"/>
              <w:bottom w:val="nil"/>
              <w:right w:val="nil"/>
            </w:tcBorders>
          </w:tcPr>
          <w:p w14:paraId="6D5D05B7" w14:textId="77777777" w:rsidR="00A20361" w:rsidRPr="00DE6C9E" w:rsidRDefault="00A20361" w:rsidP="0048210B">
            <w:pPr>
              <w:widowControl w:val="0"/>
              <w:autoSpaceDE w:val="0"/>
              <w:autoSpaceDN w:val="0"/>
              <w:adjustRightInd w:val="0"/>
              <w:rPr>
                <w:sz w:val="20"/>
                <w:szCs w:val="20"/>
              </w:rPr>
            </w:pPr>
          </w:p>
        </w:tc>
        <w:tc>
          <w:tcPr>
            <w:tcW w:w="1193" w:type="dxa"/>
            <w:tcBorders>
              <w:top w:val="nil"/>
              <w:left w:val="nil"/>
              <w:bottom w:val="nil"/>
              <w:right w:val="nil"/>
            </w:tcBorders>
          </w:tcPr>
          <w:p w14:paraId="24B1234F"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(0.075)</w:t>
            </w:r>
          </w:p>
        </w:tc>
        <w:tc>
          <w:tcPr>
            <w:tcW w:w="1626" w:type="dxa"/>
            <w:tcBorders>
              <w:top w:val="nil"/>
              <w:left w:val="nil"/>
              <w:bottom w:val="nil"/>
              <w:right w:val="nil"/>
            </w:tcBorders>
          </w:tcPr>
          <w:p w14:paraId="3AA461D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(0.048)</w:t>
            </w:r>
          </w:p>
        </w:tc>
        <w:tc>
          <w:tcPr>
            <w:tcW w:w="1890" w:type="dxa"/>
            <w:tcBorders>
              <w:top w:val="nil"/>
              <w:left w:val="nil"/>
              <w:bottom w:val="nil"/>
              <w:right w:val="nil"/>
            </w:tcBorders>
          </w:tcPr>
          <w:p w14:paraId="4F4A74A2"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(0.008)</w:t>
            </w:r>
          </w:p>
        </w:tc>
        <w:tc>
          <w:tcPr>
            <w:tcW w:w="1620" w:type="dxa"/>
            <w:tcBorders>
              <w:top w:val="nil"/>
              <w:left w:val="nil"/>
              <w:bottom w:val="nil"/>
              <w:right w:val="nil"/>
            </w:tcBorders>
          </w:tcPr>
          <w:p w14:paraId="76694A8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(0.062)</w:t>
            </w:r>
          </w:p>
        </w:tc>
      </w:tr>
      <w:tr w:rsidR="00A20361" w:rsidRPr="00DE6C9E" w14:paraId="1D0C1F01" w14:textId="77777777" w:rsidTr="0048210B">
        <w:tblPrEx>
          <w:tblBorders>
            <w:bottom w:val="single" w:sz="6" w:space="0" w:color="auto"/>
          </w:tblBorders>
        </w:tblPrEx>
        <w:trPr>
          <w:trHeight w:val="100"/>
          <w:jc w:val="center"/>
        </w:trPr>
        <w:tc>
          <w:tcPr>
            <w:tcW w:w="3121" w:type="dxa"/>
            <w:tcBorders>
              <w:top w:val="nil"/>
              <w:left w:val="nil"/>
              <w:bottom w:val="single" w:sz="6" w:space="0" w:color="auto"/>
              <w:right w:val="nil"/>
            </w:tcBorders>
          </w:tcPr>
          <w:p w14:paraId="54B56C51" w14:textId="77777777" w:rsidR="00A20361" w:rsidRPr="00DE6C9E" w:rsidRDefault="00A20361" w:rsidP="0048210B">
            <w:pPr>
              <w:widowControl w:val="0"/>
              <w:autoSpaceDE w:val="0"/>
              <w:autoSpaceDN w:val="0"/>
              <w:adjustRightInd w:val="0"/>
              <w:rPr>
                <w:sz w:val="20"/>
                <w:szCs w:val="20"/>
              </w:rPr>
            </w:pPr>
          </w:p>
        </w:tc>
        <w:tc>
          <w:tcPr>
            <w:tcW w:w="1193" w:type="dxa"/>
            <w:tcBorders>
              <w:top w:val="nil"/>
              <w:left w:val="nil"/>
              <w:bottom w:val="single" w:sz="6" w:space="0" w:color="auto"/>
              <w:right w:val="nil"/>
            </w:tcBorders>
          </w:tcPr>
          <w:p w14:paraId="4F094ADF" w14:textId="77777777" w:rsidR="00A20361" w:rsidRPr="00DE6C9E" w:rsidRDefault="00A20361" w:rsidP="0048210B">
            <w:pPr>
              <w:widowControl w:val="0"/>
              <w:autoSpaceDE w:val="0"/>
              <w:autoSpaceDN w:val="0"/>
              <w:adjustRightInd w:val="0"/>
              <w:rPr>
                <w:sz w:val="20"/>
                <w:szCs w:val="20"/>
              </w:rPr>
            </w:pPr>
          </w:p>
        </w:tc>
        <w:tc>
          <w:tcPr>
            <w:tcW w:w="1626" w:type="dxa"/>
            <w:tcBorders>
              <w:top w:val="nil"/>
              <w:left w:val="nil"/>
              <w:bottom w:val="single" w:sz="6" w:space="0" w:color="auto"/>
              <w:right w:val="nil"/>
            </w:tcBorders>
          </w:tcPr>
          <w:p w14:paraId="328A38FC" w14:textId="77777777" w:rsidR="00A20361" w:rsidRPr="00DE6C9E" w:rsidRDefault="00A20361" w:rsidP="0048210B">
            <w:pPr>
              <w:widowControl w:val="0"/>
              <w:autoSpaceDE w:val="0"/>
              <w:autoSpaceDN w:val="0"/>
              <w:adjustRightInd w:val="0"/>
              <w:rPr>
                <w:sz w:val="20"/>
                <w:szCs w:val="20"/>
              </w:rPr>
            </w:pPr>
          </w:p>
        </w:tc>
        <w:tc>
          <w:tcPr>
            <w:tcW w:w="1890" w:type="dxa"/>
            <w:tcBorders>
              <w:top w:val="nil"/>
              <w:left w:val="nil"/>
              <w:bottom w:val="single" w:sz="6" w:space="0" w:color="auto"/>
              <w:right w:val="nil"/>
            </w:tcBorders>
          </w:tcPr>
          <w:p w14:paraId="7BB8EB91" w14:textId="77777777" w:rsidR="00A20361" w:rsidRPr="00DE6C9E" w:rsidRDefault="00A20361" w:rsidP="0048210B">
            <w:pPr>
              <w:widowControl w:val="0"/>
              <w:autoSpaceDE w:val="0"/>
              <w:autoSpaceDN w:val="0"/>
              <w:adjustRightInd w:val="0"/>
              <w:rPr>
                <w:sz w:val="20"/>
                <w:szCs w:val="20"/>
              </w:rPr>
            </w:pPr>
          </w:p>
        </w:tc>
        <w:tc>
          <w:tcPr>
            <w:tcW w:w="1620" w:type="dxa"/>
            <w:tcBorders>
              <w:top w:val="nil"/>
              <w:left w:val="nil"/>
              <w:bottom w:val="single" w:sz="6" w:space="0" w:color="auto"/>
              <w:right w:val="nil"/>
            </w:tcBorders>
          </w:tcPr>
          <w:p w14:paraId="00321995" w14:textId="77777777" w:rsidR="00A20361" w:rsidRPr="00DE6C9E" w:rsidRDefault="00A20361" w:rsidP="0048210B">
            <w:pPr>
              <w:widowControl w:val="0"/>
              <w:autoSpaceDE w:val="0"/>
              <w:autoSpaceDN w:val="0"/>
              <w:adjustRightInd w:val="0"/>
              <w:rPr>
                <w:sz w:val="20"/>
                <w:szCs w:val="20"/>
              </w:rPr>
            </w:pPr>
          </w:p>
        </w:tc>
      </w:tr>
      <w:tr w:rsidR="00A20361" w:rsidRPr="00DE6C9E" w14:paraId="184C9F61" w14:textId="77777777" w:rsidTr="0048210B">
        <w:tblPrEx>
          <w:tblBorders>
            <w:bottom w:val="single" w:sz="6" w:space="0" w:color="auto"/>
          </w:tblBorders>
        </w:tblPrEx>
        <w:trPr>
          <w:trHeight w:val="285"/>
          <w:jc w:val="center"/>
        </w:trPr>
        <w:tc>
          <w:tcPr>
            <w:tcW w:w="3121" w:type="dxa"/>
            <w:tcBorders>
              <w:top w:val="single" w:sz="6" w:space="0" w:color="auto"/>
              <w:left w:val="nil"/>
              <w:bottom w:val="nil"/>
              <w:right w:val="nil"/>
            </w:tcBorders>
          </w:tcPr>
          <w:p w14:paraId="750E33D7" w14:textId="77777777" w:rsidR="00A20361" w:rsidRPr="00DE6C9E" w:rsidRDefault="00A20361" w:rsidP="0048210B">
            <w:pPr>
              <w:widowControl w:val="0"/>
              <w:autoSpaceDE w:val="0"/>
              <w:autoSpaceDN w:val="0"/>
              <w:adjustRightInd w:val="0"/>
              <w:rPr>
                <w:sz w:val="20"/>
                <w:szCs w:val="20"/>
              </w:rPr>
            </w:pPr>
            <w:r w:rsidRPr="00DE6C9E">
              <w:rPr>
                <w:sz w:val="20"/>
                <w:szCs w:val="20"/>
              </w:rPr>
              <w:t>Average Dependent Variable</w:t>
            </w:r>
          </w:p>
        </w:tc>
        <w:tc>
          <w:tcPr>
            <w:tcW w:w="1193" w:type="dxa"/>
            <w:tcBorders>
              <w:top w:val="single" w:sz="6" w:space="0" w:color="auto"/>
              <w:left w:val="nil"/>
              <w:bottom w:val="nil"/>
              <w:right w:val="nil"/>
            </w:tcBorders>
          </w:tcPr>
          <w:p w14:paraId="3CE7BC76" w14:textId="77777777" w:rsidR="00A20361" w:rsidRPr="00DE6C9E" w:rsidRDefault="00A20361" w:rsidP="0048210B">
            <w:pPr>
              <w:widowControl w:val="0"/>
              <w:autoSpaceDE w:val="0"/>
              <w:autoSpaceDN w:val="0"/>
              <w:adjustRightInd w:val="0"/>
              <w:jc w:val="center"/>
              <w:rPr>
                <w:sz w:val="20"/>
                <w:szCs w:val="20"/>
              </w:rPr>
            </w:pPr>
            <w:r w:rsidRPr="00DE6C9E">
              <w:rPr>
                <w:rFonts w:hint="eastAsia"/>
                <w:sz w:val="20"/>
                <w:szCs w:val="20"/>
              </w:rPr>
              <w:t>8.874</w:t>
            </w:r>
          </w:p>
        </w:tc>
        <w:tc>
          <w:tcPr>
            <w:tcW w:w="1626" w:type="dxa"/>
            <w:tcBorders>
              <w:top w:val="single" w:sz="6" w:space="0" w:color="auto"/>
              <w:left w:val="nil"/>
              <w:bottom w:val="nil"/>
              <w:right w:val="nil"/>
            </w:tcBorders>
          </w:tcPr>
          <w:p w14:paraId="2135D05D" w14:textId="77777777" w:rsidR="00A20361" w:rsidRPr="00DE6C9E" w:rsidRDefault="00A20361" w:rsidP="0048210B">
            <w:pPr>
              <w:widowControl w:val="0"/>
              <w:autoSpaceDE w:val="0"/>
              <w:autoSpaceDN w:val="0"/>
              <w:adjustRightInd w:val="0"/>
              <w:jc w:val="center"/>
              <w:rPr>
                <w:sz w:val="20"/>
                <w:szCs w:val="20"/>
              </w:rPr>
            </w:pPr>
            <w:r w:rsidRPr="00DE6C9E">
              <w:rPr>
                <w:rFonts w:hint="eastAsia"/>
                <w:sz w:val="20"/>
                <w:szCs w:val="20"/>
              </w:rPr>
              <w:t>3.648</w:t>
            </w:r>
          </w:p>
        </w:tc>
        <w:tc>
          <w:tcPr>
            <w:tcW w:w="1890" w:type="dxa"/>
            <w:tcBorders>
              <w:top w:val="single" w:sz="6" w:space="0" w:color="auto"/>
              <w:left w:val="nil"/>
              <w:bottom w:val="nil"/>
              <w:right w:val="nil"/>
            </w:tcBorders>
          </w:tcPr>
          <w:p w14:paraId="28873CEE" w14:textId="77777777" w:rsidR="00A20361" w:rsidRPr="00DE6C9E" w:rsidRDefault="00A20361" w:rsidP="0048210B">
            <w:pPr>
              <w:widowControl w:val="0"/>
              <w:autoSpaceDE w:val="0"/>
              <w:autoSpaceDN w:val="0"/>
              <w:adjustRightInd w:val="0"/>
              <w:jc w:val="center"/>
              <w:rPr>
                <w:sz w:val="20"/>
                <w:szCs w:val="20"/>
              </w:rPr>
            </w:pPr>
            <w:r w:rsidRPr="00DE6C9E">
              <w:rPr>
                <w:rFonts w:hint="eastAsia"/>
                <w:sz w:val="20"/>
                <w:szCs w:val="20"/>
              </w:rPr>
              <w:t>0.787</w:t>
            </w:r>
          </w:p>
        </w:tc>
        <w:tc>
          <w:tcPr>
            <w:tcW w:w="1620" w:type="dxa"/>
            <w:tcBorders>
              <w:top w:val="single" w:sz="6" w:space="0" w:color="auto"/>
              <w:left w:val="nil"/>
              <w:bottom w:val="nil"/>
              <w:right w:val="nil"/>
            </w:tcBorders>
          </w:tcPr>
          <w:p w14:paraId="67393254" w14:textId="77777777" w:rsidR="00A20361" w:rsidRPr="00DE6C9E" w:rsidRDefault="00A20361" w:rsidP="0048210B">
            <w:pPr>
              <w:widowControl w:val="0"/>
              <w:autoSpaceDE w:val="0"/>
              <w:autoSpaceDN w:val="0"/>
              <w:adjustRightInd w:val="0"/>
              <w:jc w:val="center"/>
              <w:rPr>
                <w:sz w:val="20"/>
                <w:szCs w:val="20"/>
              </w:rPr>
            </w:pPr>
            <w:r w:rsidRPr="00DE6C9E">
              <w:rPr>
                <w:rFonts w:hint="eastAsia"/>
                <w:sz w:val="20"/>
                <w:szCs w:val="20"/>
              </w:rPr>
              <w:t>4.440</w:t>
            </w:r>
          </w:p>
        </w:tc>
      </w:tr>
      <w:tr w:rsidR="00A20361" w:rsidRPr="00DE6C9E" w14:paraId="346D6C7A" w14:textId="77777777" w:rsidTr="0048210B">
        <w:tblPrEx>
          <w:tblBorders>
            <w:bottom w:val="single" w:sz="6" w:space="0" w:color="auto"/>
          </w:tblBorders>
        </w:tblPrEx>
        <w:trPr>
          <w:trHeight w:val="285"/>
          <w:jc w:val="center"/>
        </w:trPr>
        <w:tc>
          <w:tcPr>
            <w:tcW w:w="3121" w:type="dxa"/>
            <w:tcBorders>
              <w:top w:val="single" w:sz="6" w:space="0" w:color="auto"/>
              <w:left w:val="nil"/>
              <w:bottom w:val="nil"/>
              <w:right w:val="nil"/>
            </w:tcBorders>
          </w:tcPr>
          <w:p w14:paraId="4E8AFE11" w14:textId="77777777" w:rsidR="00A20361" w:rsidRPr="00DE6C9E" w:rsidRDefault="00A20361" w:rsidP="0048210B">
            <w:pPr>
              <w:widowControl w:val="0"/>
              <w:autoSpaceDE w:val="0"/>
              <w:autoSpaceDN w:val="0"/>
              <w:adjustRightInd w:val="0"/>
              <w:rPr>
                <w:sz w:val="20"/>
                <w:szCs w:val="20"/>
              </w:rPr>
            </w:pPr>
            <w:r w:rsidRPr="00DE6C9E">
              <w:rPr>
                <w:sz w:val="20"/>
                <w:szCs w:val="20"/>
              </w:rPr>
              <w:t>Observations</w:t>
            </w:r>
          </w:p>
        </w:tc>
        <w:tc>
          <w:tcPr>
            <w:tcW w:w="1193" w:type="dxa"/>
            <w:tcBorders>
              <w:top w:val="single" w:sz="6" w:space="0" w:color="auto"/>
              <w:left w:val="nil"/>
              <w:bottom w:val="nil"/>
              <w:right w:val="nil"/>
            </w:tcBorders>
          </w:tcPr>
          <w:p w14:paraId="4541A3FF"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c>
          <w:tcPr>
            <w:tcW w:w="1626" w:type="dxa"/>
            <w:tcBorders>
              <w:top w:val="single" w:sz="6" w:space="0" w:color="auto"/>
              <w:left w:val="nil"/>
              <w:bottom w:val="nil"/>
              <w:right w:val="nil"/>
            </w:tcBorders>
          </w:tcPr>
          <w:p w14:paraId="023D54F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c>
          <w:tcPr>
            <w:tcW w:w="1890" w:type="dxa"/>
            <w:tcBorders>
              <w:top w:val="single" w:sz="6" w:space="0" w:color="auto"/>
              <w:left w:val="nil"/>
              <w:bottom w:val="nil"/>
              <w:right w:val="nil"/>
            </w:tcBorders>
          </w:tcPr>
          <w:p w14:paraId="05F14DB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c>
          <w:tcPr>
            <w:tcW w:w="1620" w:type="dxa"/>
            <w:tcBorders>
              <w:top w:val="single" w:sz="6" w:space="0" w:color="auto"/>
              <w:left w:val="nil"/>
              <w:bottom w:val="nil"/>
              <w:right w:val="nil"/>
            </w:tcBorders>
          </w:tcPr>
          <w:p w14:paraId="153F31FD"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r>
      <w:tr w:rsidR="00A20361" w:rsidRPr="00DE6C9E" w14:paraId="68AAE87B" w14:textId="77777777" w:rsidTr="0048210B">
        <w:tblPrEx>
          <w:tblBorders>
            <w:bottom w:val="single" w:sz="6" w:space="0" w:color="auto"/>
          </w:tblBorders>
        </w:tblPrEx>
        <w:trPr>
          <w:trHeight w:val="265"/>
          <w:jc w:val="center"/>
        </w:trPr>
        <w:tc>
          <w:tcPr>
            <w:tcW w:w="3121" w:type="dxa"/>
            <w:tcBorders>
              <w:top w:val="nil"/>
              <w:left w:val="nil"/>
              <w:bottom w:val="single" w:sz="6" w:space="0" w:color="auto"/>
              <w:right w:val="nil"/>
            </w:tcBorders>
          </w:tcPr>
          <w:p w14:paraId="64E74A0A" w14:textId="77777777" w:rsidR="00A20361" w:rsidRPr="00DE6C9E" w:rsidRDefault="00A20361" w:rsidP="0048210B">
            <w:pPr>
              <w:widowControl w:val="0"/>
              <w:autoSpaceDE w:val="0"/>
              <w:autoSpaceDN w:val="0"/>
              <w:adjustRightInd w:val="0"/>
              <w:rPr>
                <w:sz w:val="20"/>
                <w:szCs w:val="20"/>
              </w:rPr>
            </w:pPr>
            <w:r w:rsidRPr="00DE6C9E">
              <w:rPr>
                <w:sz w:val="20"/>
                <w:szCs w:val="20"/>
              </w:rPr>
              <w:t>R-squared</w:t>
            </w:r>
          </w:p>
        </w:tc>
        <w:tc>
          <w:tcPr>
            <w:tcW w:w="1193" w:type="dxa"/>
            <w:tcBorders>
              <w:top w:val="nil"/>
              <w:left w:val="nil"/>
              <w:bottom w:val="single" w:sz="6" w:space="0" w:color="auto"/>
              <w:right w:val="nil"/>
            </w:tcBorders>
          </w:tcPr>
          <w:p w14:paraId="18104F4B"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0.285</w:t>
            </w:r>
          </w:p>
        </w:tc>
        <w:tc>
          <w:tcPr>
            <w:tcW w:w="1626" w:type="dxa"/>
            <w:tcBorders>
              <w:top w:val="nil"/>
              <w:left w:val="nil"/>
              <w:bottom w:val="single" w:sz="6" w:space="0" w:color="auto"/>
              <w:right w:val="nil"/>
            </w:tcBorders>
          </w:tcPr>
          <w:p w14:paraId="44BEB062"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0.252</w:t>
            </w:r>
          </w:p>
        </w:tc>
        <w:tc>
          <w:tcPr>
            <w:tcW w:w="1890" w:type="dxa"/>
            <w:tcBorders>
              <w:top w:val="nil"/>
              <w:left w:val="nil"/>
              <w:bottom w:val="single" w:sz="6" w:space="0" w:color="auto"/>
              <w:right w:val="nil"/>
            </w:tcBorders>
          </w:tcPr>
          <w:p w14:paraId="62818C05"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0.202</w:t>
            </w:r>
          </w:p>
        </w:tc>
        <w:tc>
          <w:tcPr>
            <w:tcW w:w="1620" w:type="dxa"/>
            <w:tcBorders>
              <w:top w:val="nil"/>
              <w:left w:val="nil"/>
              <w:bottom w:val="single" w:sz="6" w:space="0" w:color="auto"/>
              <w:right w:val="nil"/>
            </w:tcBorders>
          </w:tcPr>
          <w:p w14:paraId="1EE595A7"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0.258</w:t>
            </w:r>
          </w:p>
        </w:tc>
      </w:tr>
    </w:tbl>
    <w:p w14:paraId="5739E417" w14:textId="77777777" w:rsidR="00D030D7" w:rsidRPr="00D030D7" w:rsidRDefault="00A20361" w:rsidP="00D030D7">
      <w:pPr>
        <w:jc w:val="both"/>
        <w:rPr>
          <w:rFonts w:ascii="Times" w:hAnsi="Times" w:cs="Times"/>
          <w:color w:val="000000"/>
          <w:sz w:val="21"/>
          <w:szCs w:val="21"/>
        </w:rPr>
      </w:pPr>
      <w:r w:rsidRPr="00DE6C9E">
        <w:rPr>
          <w:sz w:val="20"/>
          <w:szCs w:val="20"/>
        </w:rPr>
        <w:t>Notes: All regressions include the full vectors of control variables from column (5) of Table 3. Robust</w:t>
      </w:r>
      <w:r w:rsidRPr="00D030D7">
        <w:rPr>
          <w:rFonts w:ascii="Times" w:hAnsi="Times" w:cs="Times"/>
          <w:color w:val="000000"/>
          <w:sz w:val="21"/>
          <w:szCs w:val="21"/>
        </w:rPr>
        <w:t xml:space="preserve"> standard errors in parentheses are clustered on CZ. Models are weighted by start of period CZ share of national population. </w:t>
      </w:r>
      <w:r w:rsidR="00D030D7" w:rsidRPr="00D030D7">
        <w:rPr>
          <w:rFonts w:ascii="Times" w:hAnsi="Times" w:cs="Times"/>
          <w:color w:val="000000"/>
          <w:sz w:val="21"/>
          <w:szCs w:val="21"/>
        </w:rPr>
        <w:t>* p&lt;0.05, ** p&lt;0.01, *** p&lt;0.001</w:t>
      </w:r>
    </w:p>
    <w:p w14:paraId="03472F7F" w14:textId="62F03DA4" w:rsidR="00A20361" w:rsidRPr="005B294B" w:rsidRDefault="00A20361" w:rsidP="00A20361">
      <w:pPr>
        <w:widowControl w:val="0"/>
        <w:autoSpaceDE w:val="0"/>
        <w:autoSpaceDN w:val="0"/>
        <w:adjustRightInd w:val="0"/>
        <w:spacing w:after="240"/>
        <w:jc w:val="both"/>
        <w:rPr>
          <w:rFonts w:ascii="Times" w:hAnsi="Times" w:cs="Times"/>
          <w:i/>
          <w:iCs/>
          <w:color w:val="000000"/>
          <w:sz w:val="21"/>
          <w:szCs w:val="21"/>
        </w:rPr>
      </w:pPr>
    </w:p>
    <w:p w14:paraId="5CF5BA75" w14:textId="77777777" w:rsidR="00A20361" w:rsidRPr="005B294B" w:rsidRDefault="00A20361" w:rsidP="00A20361">
      <w:pPr>
        <w:widowControl w:val="0"/>
        <w:autoSpaceDE w:val="0"/>
        <w:autoSpaceDN w:val="0"/>
        <w:adjustRightInd w:val="0"/>
        <w:spacing w:after="240"/>
        <w:jc w:val="both"/>
        <w:rPr>
          <w:rFonts w:ascii="Times" w:hAnsi="Times" w:cs="Times"/>
          <w:i/>
          <w:iCs/>
          <w:color w:val="000000"/>
          <w:sz w:val="21"/>
          <w:szCs w:val="21"/>
        </w:rPr>
      </w:pPr>
    </w:p>
    <w:p w14:paraId="59FEF17F" w14:textId="77777777" w:rsidR="00A20361" w:rsidRPr="005B294B" w:rsidRDefault="00A20361" w:rsidP="00A20361">
      <w:pPr>
        <w:jc w:val="both"/>
        <w:rPr>
          <w:rFonts w:ascii="Times" w:hAnsi="Times" w:cs="Times"/>
          <w:color w:val="000000"/>
        </w:rPr>
      </w:pPr>
    </w:p>
    <w:p w14:paraId="2483818F" w14:textId="77777777" w:rsidR="00A20361" w:rsidRPr="005B294B" w:rsidRDefault="00A20361" w:rsidP="00A20361">
      <w:pPr>
        <w:jc w:val="both"/>
        <w:rPr>
          <w:rFonts w:ascii="Times" w:hAnsi="Times" w:cs="Times"/>
          <w:color w:val="000000"/>
        </w:rPr>
      </w:pPr>
    </w:p>
    <w:p w14:paraId="640E1E6B" w14:textId="77777777" w:rsidR="00A20361" w:rsidRPr="005B294B" w:rsidRDefault="00A20361" w:rsidP="00A20361">
      <w:pPr>
        <w:rPr>
          <w:rFonts w:ascii="Times" w:hAnsi="Times" w:cs="Times"/>
          <w:color w:val="000000"/>
        </w:rPr>
      </w:pPr>
      <w:r w:rsidRPr="005B294B">
        <w:rPr>
          <w:rFonts w:ascii="Times" w:hAnsi="Times" w:cs="Times"/>
          <w:color w:val="000000"/>
        </w:rPr>
        <w:br w:type="page"/>
      </w:r>
    </w:p>
    <w:p w14:paraId="0CB1D60D" w14:textId="77777777" w:rsidR="00A20361" w:rsidRPr="00841E1D" w:rsidRDefault="00A20361" w:rsidP="00841E1D">
      <w:pPr>
        <w:rPr>
          <w:rFonts w:ascii="Times" w:hAnsi="Times" w:cs="Times"/>
          <w:b/>
          <w:bCs/>
          <w:color w:val="000000"/>
        </w:rPr>
      </w:pPr>
      <w:r w:rsidRPr="00841E1D">
        <w:rPr>
          <w:rFonts w:ascii="Times" w:hAnsi="Times" w:cs="Times"/>
          <w:b/>
          <w:bCs/>
          <w:color w:val="000000"/>
        </w:rPr>
        <w:lastRenderedPageBreak/>
        <w:t>Table 5 Import from China and per-pupil expenditures on different sectors within CZs, 1990-2007, 2SLS</w:t>
      </w:r>
    </w:p>
    <w:p w14:paraId="1D6D68C5" w14:textId="77777777" w:rsidR="00A20361" w:rsidRPr="005B294B" w:rsidRDefault="00A20361" w:rsidP="00A20361">
      <w:pPr>
        <w:jc w:val="center"/>
        <w:rPr>
          <w:rFonts w:ascii="Times" w:hAnsi="Times" w:cs="Times"/>
          <w:color w:val="000000"/>
        </w:rPr>
      </w:pPr>
      <w:r w:rsidRPr="005B294B">
        <w:rPr>
          <w:rFonts w:ascii="Times" w:hAnsi="Times" w:cs="Times"/>
          <w:color w:val="000000"/>
        </w:rPr>
        <w:t>Dependent Variable: Ten-year equivalent changes in per-pupil expenditures on different sectors / $1000</w:t>
      </w:r>
    </w:p>
    <w:p w14:paraId="09592250" w14:textId="77777777" w:rsidR="00A20361" w:rsidRPr="005B294B" w:rsidRDefault="00A20361" w:rsidP="00A20361">
      <w:pPr>
        <w:jc w:val="center"/>
        <w:rPr>
          <w:rFonts w:ascii="Times" w:hAnsi="Times" w:cs="Times"/>
          <w:color w:val="000000"/>
        </w:rPr>
      </w:pPr>
    </w:p>
    <w:tbl>
      <w:tblPr>
        <w:tblW w:w="7362" w:type="dxa"/>
        <w:jc w:val="center"/>
        <w:tblLayout w:type="fixed"/>
        <w:tblCellMar>
          <w:left w:w="75" w:type="dxa"/>
          <w:right w:w="75" w:type="dxa"/>
        </w:tblCellMar>
        <w:tblLook w:val="0000" w:firstRow="0" w:lastRow="0" w:firstColumn="0" w:lastColumn="0" w:noHBand="0" w:noVBand="0"/>
      </w:tblPr>
      <w:tblGrid>
        <w:gridCol w:w="2610"/>
        <w:gridCol w:w="1584"/>
        <w:gridCol w:w="1584"/>
        <w:gridCol w:w="1584"/>
      </w:tblGrid>
      <w:tr w:rsidR="00A20361" w:rsidRPr="005B294B" w14:paraId="0D3F923F" w14:textId="77777777" w:rsidTr="0048210B">
        <w:trPr>
          <w:jc w:val="center"/>
        </w:trPr>
        <w:tc>
          <w:tcPr>
            <w:tcW w:w="2610" w:type="dxa"/>
            <w:tcBorders>
              <w:top w:val="single" w:sz="6" w:space="0" w:color="auto"/>
              <w:left w:val="nil"/>
              <w:bottom w:val="single" w:sz="4" w:space="0" w:color="auto"/>
              <w:right w:val="nil"/>
            </w:tcBorders>
          </w:tcPr>
          <w:p w14:paraId="3B861B3F" w14:textId="77777777" w:rsidR="00A20361" w:rsidRPr="00DE6C9E" w:rsidRDefault="00A20361" w:rsidP="0048210B">
            <w:pPr>
              <w:widowControl w:val="0"/>
              <w:autoSpaceDE w:val="0"/>
              <w:autoSpaceDN w:val="0"/>
              <w:adjustRightInd w:val="0"/>
              <w:rPr>
                <w:sz w:val="20"/>
                <w:szCs w:val="20"/>
              </w:rPr>
            </w:pPr>
          </w:p>
        </w:tc>
        <w:tc>
          <w:tcPr>
            <w:tcW w:w="1584" w:type="dxa"/>
            <w:tcBorders>
              <w:top w:val="single" w:sz="6" w:space="0" w:color="auto"/>
              <w:left w:val="nil"/>
              <w:bottom w:val="single" w:sz="4" w:space="0" w:color="auto"/>
              <w:right w:val="nil"/>
            </w:tcBorders>
          </w:tcPr>
          <w:p w14:paraId="22D024F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 xml:space="preserve">(1)                  </w:t>
            </w:r>
            <m:oMath>
              <m:r>
                <m:rPr>
                  <m:sty m:val="p"/>
                </m:rPr>
                <w:rPr>
                  <w:rFonts w:ascii="Cambria Math" w:hAnsi="Cambria Math"/>
                  <w:sz w:val="20"/>
                  <w:szCs w:val="20"/>
                </w:rPr>
                <m:t>∆</m:t>
              </m:r>
            </m:oMath>
            <w:r w:rsidRPr="00DE6C9E">
              <w:rPr>
                <w:sz w:val="20"/>
                <w:szCs w:val="20"/>
              </w:rPr>
              <w:t xml:space="preserve">Current elementary &amp; secondary      </w:t>
            </w:r>
          </w:p>
        </w:tc>
        <w:tc>
          <w:tcPr>
            <w:tcW w:w="1584" w:type="dxa"/>
            <w:tcBorders>
              <w:top w:val="single" w:sz="6" w:space="0" w:color="auto"/>
              <w:left w:val="nil"/>
              <w:bottom w:val="single" w:sz="4" w:space="0" w:color="auto"/>
              <w:right w:val="nil"/>
            </w:tcBorders>
          </w:tcPr>
          <w:p w14:paraId="2626F2D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(2)</w:t>
            </w:r>
            <m:oMath>
              <m:r>
                <m:rPr>
                  <m:sty m:val="p"/>
                </m:rPr>
                <w:rPr>
                  <w:rFonts w:ascii="Cambria Math" w:hAnsi="Cambria Math"/>
                  <w:sz w:val="20"/>
                  <w:szCs w:val="20"/>
                </w:rPr>
                <m:t xml:space="preserve"> </m:t>
              </m:r>
            </m:oMath>
          </w:p>
          <w:p w14:paraId="3F3F1D83" w14:textId="6820B725"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 xml:space="preserve">Current Non elementary &amp; secondary </w:t>
            </w:r>
          </w:p>
        </w:tc>
        <w:tc>
          <w:tcPr>
            <w:tcW w:w="1584" w:type="dxa"/>
            <w:tcBorders>
              <w:top w:val="single" w:sz="6" w:space="0" w:color="auto"/>
              <w:left w:val="nil"/>
              <w:bottom w:val="single" w:sz="4" w:space="0" w:color="auto"/>
              <w:right w:val="nil"/>
            </w:tcBorders>
          </w:tcPr>
          <w:p w14:paraId="735C0AA5"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m:oMath>
              <m:r>
                <m:rPr>
                  <m:sty m:val="p"/>
                </m:rPr>
                <w:rPr>
                  <w:rFonts w:ascii="Cambria Math" w:hAnsi="Cambria Math"/>
                  <w:sz w:val="20"/>
                  <w:szCs w:val="20"/>
                </w:rPr>
                <m:t xml:space="preserve"> </m:t>
              </m:r>
            </m:oMath>
          </w:p>
          <w:p w14:paraId="2D1156E6" w14:textId="4A1F03F2"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 xml:space="preserve">Capital Outlay   </w:t>
            </w:r>
          </w:p>
        </w:tc>
      </w:tr>
      <w:tr w:rsidR="00A20361" w:rsidRPr="005B294B" w14:paraId="295B8FB2" w14:textId="77777777" w:rsidTr="0048210B">
        <w:trPr>
          <w:trHeight w:val="332"/>
          <w:jc w:val="center"/>
        </w:trPr>
        <w:tc>
          <w:tcPr>
            <w:tcW w:w="2610" w:type="dxa"/>
            <w:tcBorders>
              <w:top w:val="single" w:sz="4" w:space="0" w:color="auto"/>
              <w:left w:val="nil"/>
              <w:bottom w:val="nil"/>
              <w:right w:val="nil"/>
            </w:tcBorders>
          </w:tcPr>
          <w:p w14:paraId="5ADA2273" w14:textId="77777777" w:rsidR="00A20361" w:rsidRPr="00DE6C9E" w:rsidRDefault="00A20361" w:rsidP="0048210B">
            <w:pPr>
              <w:widowControl w:val="0"/>
              <w:autoSpaceDE w:val="0"/>
              <w:autoSpaceDN w:val="0"/>
              <w:adjustRightInd w:val="0"/>
              <w:rPr>
                <w:sz w:val="20"/>
                <w:szCs w:val="20"/>
              </w:rPr>
            </w:pPr>
          </w:p>
        </w:tc>
        <w:tc>
          <w:tcPr>
            <w:tcW w:w="1584" w:type="dxa"/>
            <w:tcBorders>
              <w:top w:val="single" w:sz="4" w:space="0" w:color="auto"/>
              <w:left w:val="nil"/>
              <w:bottom w:val="nil"/>
              <w:right w:val="nil"/>
            </w:tcBorders>
          </w:tcPr>
          <w:p w14:paraId="7D686C04" w14:textId="77777777" w:rsidR="00A20361" w:rsidRPr="00DE6C9E" w:rsidRDefault="00A20361" w:rsidP="0048210B">
            <w:pPr>
              <w:widowControl w:val="0"/>
              <w:autoSpaceDE w:val="0"/>
              <w:autoSpaceDN w:val="0"/>
              <w:adjustRightInd w:val="0"/>
              <w:jc w:val="center"/>
              <w:rPr>
                <w:sz w:val="20"/>
                <w:szCs w:val="20"/>
              </w:rPr>
            </w:pPr>
          </w:p>
        </w:tc>
        <w:tc>
          <w:tcPr>
            <w:tcW w:w="1584" w:type="dxa"/>
            <w:tcBorders>
              <w:top w:val="single" w:sz="4" w:space="0" w:color="auto"/>
              <w:left w:val="nil"/>
              <w:bottom w:val="nil"/>
              <w:right w:val="nil"/>
            </w:tcBorders>
          </w:tcPr>
          <w:p w14:paraId="2A04D848" w14:textId="77777777" w:rsidR="00A20361" w:rsidRPr="00DE6C9E" w:rsidRDefault="00A20361" w:rsidP="0048210B">
            <w:pPr>
              <w:widowControl w:val="0"/>
              <w:autoSpaceDE w:val="0"/>
              <w:autoSpaceDN w:val="0"/>
              <w:adjustRightInd w:val="0"/>
              <w:jc w:val="center"/>
              <w:rPr>
                <w:sz w:val="20"/>
                <w:szCs w:val="20"/>
              </w:rPr>
            </w:pPr>
          </w:p>
        </w:tc>
        <w:tc>
          <w:tcPr>
            <w:tcW w:w="1584" w:type="dxa"/>
            <w:tcBorders>
              <w:top w:val="single" w:sz="4" w:space="0" w:color="auto"/>
              <w:left w:val="nil"/>
              <w:bottom w:val="nil"/>
              <w:right w:val="nil"/>
            </w:tcBorders>
          </w:tcPr>
          <w:p w14:paraId="16E9FB54" w14:textId="77777777" w:rsidR="00A20361" w:rsidRPr="00DE6C9E" w:rsidRDefault="00A20361" w:rsidP="0048210B">
            <w:pPr>
              <w:widowControl w:val="0"/>
              <w:autoSpaceDE w:val="0"/>
              <w:autoSpaceDN w:val="0"/>
              <w:adjustRightInd w:val="0"/>
              <w:jc w:val="center"/>
              <w:rPr>
                <w:sz w:val="20"/>
                <w:szCs w:val="20"/>
              </w:rPr>
            </w:pPr>
          </w:p>
        </w:tc>
      </w:tr>
      <w:tr w:rsidR="00A20361" w:rsidRPr="005B294B" w14:paraId="3F92B0CE" w14:textId="77777777" w:rsidTr="0048210B">
        <w:trPr>
          <w:jc w:val="center"/>
        </w:trPr>
        <w:tc>
          <w:tcPr>
            <w:tcW w:w="2610" w:type="dxa"/>
            <w:tcBorders>
              <w:top w:val="nil"/>
              <w:left w:val="nil"/>
              <w:bottom w:val="nil"/>
              <w:right w:val="nil"/>
            </w:tcBorders>
          </w:tcPr>
          <w:p w14:paraId="38A472C3" w14:textId="77777777" w:rsidR="00A20361" w:rsidRPr="00DE6C9E" w:rsidRDefault="00157748" w:rsidP="0048210B">
            <w:pPr>
              <w:widowControl w:val="0"/>
              <w:autoSpaceDE w:val="0"/>
              <w:autoSpaceDN w:val="0"/>
              <w:adjustRightInd w:val="0"/>
              <w:rPr>
                <w:sz w:val="20"/>
                <w:szCs w:val="20"/>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584" w:type="dxa"/>
            <w:tcBorders>
              <w:top w:val="nil"/>
              <w:left w:val="nil"/>
              <w:bottom w:val="nil"/>
              <w:right w:val="nil"/>
            </w:tcBorders>
          </w:tcPr>
          <w:p w14:paraId="17D3672D"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 xml:space="preserve">-0.164**                                 </w:t>
            </w:r>
          </w:p>
        </w:tc>
        <w:tc>
          <w:tcPr>
            <w:tcW w:w="1584" w:type="dxa"/>
            <w:tcBorders>
              <w:top w:val="nil"/>
              <w:left w:val="nil"/>
              <w:bottom w:val="nil"/>
              <w:right w:val="nil"/>
            </w:tcBorders>
          </w:tcPr>
          <w:p w14:paraId="2429F600"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-0.007*</w:t>
            </w:r>
            <w:r w:rsidRPr="00DE6C9E">
              <w:rPr>
                <w:rFonts w:hint="eastAsia"/>
                <w:sz w:val="20"/>
                <w:szCs w:val="20"/>
              </w:rPr>
              <w:t>*</w:t>
            </w:r>
          </w:p>
        </w:tc>
        <w:tc>
          <w:tcPr>
            <w:tcW w:w="1584" w:type="dxa"/>
            <w:tcBorders>
              <w:top w:val="nil"/>
              <w:left w:val="nil"/>
              <w:bottom w:val="nil"/>
              <w:right w:val="nil"/>
            </w:tcBorders>
          </w:tcPr>
          <w:p w14:paraId="78CF30DE"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-0.082***</w:t>
            </w:r>
          </w:p>
        </w:tc>
      </w:tr>
      <w:tr w:rsidR="00A20361" w:rsidRPr="005B294B" w14:paraId="7C3B151D" w14:textId="77777777" w:rsidTr="0048210B">
        <w:trPr>
          <w:jc w:val="center"/>
        </w:trPr>
        <w:tc>
          <w:tcPr>
            <w:tcW w:w="2610" w:type="dxa"/>
            <w:tcBorders>
              <w:top w:val="nil"/>
              <w:left w:val="nil"/>
              <w:bottom w:val="nil"/>
              <w:right w:val="nil"/>
            </w:tcBorders>
          </w:tcPr>
          <w:p w14:paraId="7995A7EC" w14:textId="77777777" w:rsidR="00A20361" w:rsidRPr="00DE6C9E" w:rsidRDefault="00A20361" w:rsidP="0048210B">
            <w:pPr>
              <w:widowControl w:val="0"/>
              <w:autoSpaceDE w:val="0"/>
              <w:autoSpaceDN w:val="0"/>
              <w:adjustRightInd w:val="0"/>
              <w:rPr>
                <w:sz w:val="20"/>
                <w:szCs w:val="20"/>
              </w:rPr>
            </w:pPr>
          </w:p>
        </w:tc>
        <w:tc>
          <w:tcPr>
            <w:tcW w:w="1584" w:type="dxa"/>
            <w:tcBorders>
              <w:top w:val="nil"/>
              <w:left w:val="nil"/>
              <w:bottom w:val="nil"/>
              <w:right w:val="nil"/>
            </w:tcBorders>
          </w:tcPr>
          <w:p w14:paraId="7D5807CF"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(0.058)</w:t>
            </w:r>
          </w:p>
        </w:tc>
        <w:tc>
          <w:tcPr>
            <w:tcW w:w="1584" w:type="dxa"/>
            <w:tcBorders>
              <w:top w:val="nil"/>
              <w:left w:val="nil"/>
              <w:bottom w:val="nil"/>
              <w:right w:val="nil"/>
            </w:tcBorders>
          </w:tcPr>
          <w:p w14:paraId="353092CD"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(0.003)</w:t>
            </w:r>
          </w:p>
        </w:tc>
        <w:tc>
          <w:tcPr>
            <w:tcW w:w="1584" w:type="dxa"/>
            <w:tcBorders>
              <w:top w:val="nil"/>
              <w:left w:val="nil"/>
              <w:bottom w:val="nil"/>
              <w:right w:val="nil"/>
            </w:tcBorders>
          </w:tcPr>
          <w:p w14:paraId="237C8D07"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(0.024)</w:t>
            </w:r>
          </w:p>
        </w:tc>
      </w:tr>
      <w:tr w:rsidR="00A20361" w:rsidRPr="005B294B" w14:paraId="480A48F7" w14:textId="77777777" w:rsidTr="0048210B">
        <w:tblPrEx>
          <w:tblBorders>
            <w:bottom w:val="single" w:sz="6" w:space="0" w:color="auto"/>
          </w:tblBorders>
        </w:tblPrEx>
        <w:trPr>
          <w:jc w:val="center"/>
        </w:trPr>
        <w:tc>
          <w:tcPr>
            <w:tcW w:w="2610" w:type="dxa"/>
            <w:tcBorders>
              <w:top w:val="nil"/>
              <w:left w:val="nil"/>
              <w:bottom w:val="single" w:sz="6" w:space="0" w:color="auto"/>
              <w:right w:val="nil"/>
            </w:tcBorders>
          </w:tcPr>
          <w:p w14:paraId="01A5F5FF" w14:textId="77777777" w:rsidR="00A20361" w:rsidRPr="00DE6C9E" w:rsidRDefault="00A20361" w:rsidP="0048210B">
            <w:pPr>
              <w:widowControl w:val="0"/>
              <w:autoSpaceDE w:val="0"/>
              <w:autoSpaceDN w:val="0"/>
              <w:adjustRightInd w:val="0"/>
              <w:rPr>
                <w:sz w:val="20"/>
                <w:szCs w:val="20"/>
              </w:rPr>
            </w:pPr>
          </w:p>
        </w:tc>
        <w:tc>
          <w:tcPr>
            <w:tcW w:w="1584" w:type="dxa"/>
            <w:tcBorders>
              <w:top w:val="nil"/>
              <w:left w:val="nil"/>
              <w:bottom w:val="single" w:sz="6" w:space="0" w:color="auto"/>
              <w:right w:val="nil"/>
            </w:tcBorders>
          </w:tcPr>
          <w:p w14:paraId="56DADFDF" w14:textId="77777777" w:rsidR="00A20361" w:rsidRPr="00DE6C9E" w:rsidRDefault="00A20361" w:rsidP="0048210B">
            <w:pPr>
              <w:widowControl w:val="0"/>
              <w:autoSpaceDE w:val="0"/>
              <w:autoSpaceDN w:val="0"/>
              <w:adjustRightInd w:val="0"/>
              <w:rPr>
                <w:sz w:val="20"/>
                <w:szCs w:val="20"/>
              </w:rPr>
            </w:pPr>
          </w:p>
        </w:tc>
        <w:tc>
          <w:tcPr>
            <w:tcW w:w="1584" w:type="dxa"/>
            <w:tcBorders>
              <w:top w:val="nil"/>
              <w:left w:val="nil"/>
              <w:bottom w:val="single" w:sz="6" w:space="0" w:color="auto"/>
              <w:right w:val="nil"/>
            </w:tcBorders>
          </w:tcPr>
          <w:p w14:paraId="25CB5C9C" w14:textId="77777777" w:rsidR="00A20361" w:rsidRPr="00DE6C9E" w:rsidRDefault="00A20361" w:rsidP="0048210B">
            <w:pPr>
              <w:widowControl w:val="0"/>
              <w:autoSpaceDE w:val="0"/>
              <w:autoSpaceDN w:val="0"/>
              <w:adjustRightInd w:val="0"/>
              <w:rPr>
                <w:sz w:val="20"/>
                <w:szCs w:val="20"/>
              </w:rPr>
            </w:pPr>
          </w:p>
        </w:tc>
        <w:tc>
          <w:tcPr>
            <w:tcW w:w="1584" w:type="dxa"/>
            <w:tcBorders>
              <w:top w:val="nil"/>
              <w:left w:val="nil"/>
              <w:bottom w:val="single" w:sz="6" w:space="0" w:color="auto"/>
              <w:right w:val="nil"/>
            </w:tcBorders>
          </w:tcPr>
          <w:p w14:paraId="05AC8F83" w14:textId="77777777" w:rsidR="00A20361" w:rsidRPr="00DE6C9E" w:rsidRDefault="00A20361" w:rsidP="0048210B">
            <w:pPr>
              <w:widowControl w:val="0"/>
              <w:autoSpaceDE w:val="0"/>
              <w:autoSpaceDN w:val="0"/>
              <w:adjustRightInd w:val="0"/>
              <w:rPr>
                <w:sz w:val="20"/>
                <w:szCs w:val="20"/>
              </w:rPr>
            </w:pPr>
          </w:p>
        </w:tc>
      </w:tr>
      <w:tr w:rsidR="007919B5" w:rsidRPr="005B294B" w14:paraId="494A33E4" w14:textId="77777777" w:rsidTr="0048210B">
        <w:tblPrEx>
          <w:tblBorders>
            <w:bottom w:val="single" w:sz="6" w:space="0" w:color="auto"/>
          </w:tblBorders>
        </w:tblPrEx>
        <w:trPr>
          <w:jc w:val="center"/>
        </w:trPr>
        <w:tc>
          <w:tcPr>
            <w:tcW w:w="2610" w:type="dxa"/>
            <w:tcBorders>
              <w:top w:val="single" w:sz="6" w:space="0" w:color="auto"/>
              <w:left w:val="nil"/>
              <w:bottom w:val="nil"/>
              <w:right w:val="nil"/>
            </w:tcBorders>
          </w:tcPr>
          <w:p w14:paraId="5F603971" w14:textId="4C077F04" w:rsidR="007919B5" w:rsidRPr="00DE6C9E" w:rsidRDefault="007919B5" w:rsidP="007919B5">
            <w:pPr>
              <w:widowControl w:val="0"/>
              <w:autoSpaceDE w:val="0"/>
              <w:autoSpaceDN w:val="0"/>
              <w:adjustRightInd w:val="0"/>
              <w:rPr>
                <w:sz w:val="20"/>
                <w:szCs w:val="20"/>
              </w:rPr>
            </w:pPr>
            <w:r w:rsidRPr="00DE6C9E">
              <w:rPr>
                <w:sz w:val="20"/>
                <w:szCs w:val="20"/>
              </w:rPr>
              <w:t>Average Dependent Variable</w:t>
            </w:r>
          </w:p>
        </w:tc>
        <w:tc>
          <w:tcPr>
            <w:tcW w:w="1584" w:type="dxa"/>
            <w:tcBorders>
              <w:top w:val="single" w:sz="6" w:space="0" w:color="auto"/>
              <w:left w:val="nil"/>
              <w:bottom w:val="nil"/>
              <w:right w:val="nil"/>
            </w:tcBorders>
          </w:tcPr>
          <w:p w14:paraId="09887EF1" w14:textId="4406A785" w:rsidR="007919B5" w:rsidRPr="00DE6C9E" w:rsidRDefault="00841E1D" w:rsidP="007919B5">
            <w:pPr>
              <w:widowControl w:val="0"/>
              <w:autoSpaceDE w:val="0"/>
              <w:autoSpaceDN w:val="0"/>
              <w:adjustRightInd w:val="0"/>
              <w:jc w:val="center"/>
              <w:rPr>
                <w:sz w:val="20"/>
                <w:szCs w:val="20"/>
              </w:rPr>
            </w:pPr>
            <w:r>
              <w:rPr>
                <w:sz w:val="20"/>
                <w:szCs w:val="20"/>
              </w:rPr>
              <w:t>6.628</w:t>
            </w:r>
          </w:p>
        </w:tc>
        <w:tc>
          <w:tcPr>
            <w:tcW w:w="1584" w:type="dxa"/>
            <w:tcBorders>
              <w:top w:val="single" w:sz="6" w:space="0" w:color="auto"/>
              <w:left w:val="nil"/>
              <w:bottom w:val="nil"/>
              <w:right w:val="nil"/>
            </w:tcBorders>
          </w:tcPr>
          <w:p w14:paraId="547AA3B0" w14:textId="4E558117" w:rsidR="007919B5" w:rsidRPr="00DE6C9E" w:rsidRDefault="00841E1D" w:rsidP="007919B5">
            <w:pPr>
              <w:widowControl w:val="0"/>
              <w:autoSpaceDE w:val="0"/>
              <w:autoSpaceDN w:val="0"/>
              <w:adjustRightInd w:val="0"/>
              <w:jc w:val="center"/>
              <w:rPr>
                <w:sz w:val="20"/>
                <w:szCs w:val="20"/>
              </w:rPr>
            </w:pPr>
            <w:r>
              <w:rPr>
                <w:sz w:val="20"/>
                <w:szCs w:val="20"/>
              </w:rPr>
              <w:t>0.078</w:t>
            </w:r>
          </w:p>
        </w:tc>
        <w:tc>
          <w:tcPr>
            <w:tcW w:w="1584" w:type="dxa"/>
            <w:tcBorders>
              <w:top w:val="single" w:sz="6" w:space="0" w:color="auto"/>
              <w:left w:val="nil"/>
              <w:bottom w:val="nil"/>
              <w:right w:val="nil"/>
            </w:tcBorders>
          </w:tcPr>
          <w:p w14:paraId="7FE6835B" w14:textId="41463F26" w:rsidR="007919B5" w:rsidRPr="00DE6C9E" w:rsidRDefault="007919B5" w:rsidP="007919B5">
            <w:pPr>
              <w:widowControl w:val="0"/>
              <w:autoSpaceDE w:val="0"/>
              <w:autoSpaceDN w:val="0"/>
              <w:adjustRightInd w:val="0"/>
              <w:jc w:val="center"/>
              <w:rPr>
                <w:sz w:val="20"/>
                <w:szCs w:val="20"/>
              </w:rPr>
            </w:pPr>
            <w:r w:rsidRPr="00DE6C9E">
              <w:rPr>
                <w:rFonts w:hint="eastAsia"/>
                <w:sz w:val="20"/>
                <w:szCs w:val="20"/>
              </w:rPr>
              <w:t>0.7</w:t>
            </w:r>
            <w:r w:rsidR="00841E1D">
              <w:rPr>
                <w:sz w:val="20"/>
                <w:szCs w:val="20"/>
              </w:rPr>
              <w:t>28</w:t>
            </w:r>
          </w:p>
        </w:tc>
      </w:tr>
      <w:tr w:rsidR="007919B5" w:rsidRPr="005B294B" w14:paraId="4D264B9F" w14:textId="77777777" w:rsidTr="0048210B">
        <w:tblPrEx>
          <w:tblBorders>
            <w:bottom w:val="single" w:sz="6" w:space="0" w:color="auto"/>
          </w:tblBorders>
        </w:tblPrEx>
        <w:trPr>
          <w:jc w:val="center"/>
        </w:trPr>
        <w:tc>
          <w:tcPr>
            <w:tcW w:w="2610" w:type="dxa"/>
            <w:tcBorders>
              <w:top w:val="single" w:sz="6" w:space="0" w:color="auto"/>
              <w:left w:val="nil"/>
              <w:bottom w:val="nil"/>
              <w:right w:val="nil"/>
            </w:tcBorders>
          </w:tcPr>
          <w:p w14:paraId="4D9E044C" w14:textId="77777777" w:rsidR="007919B5" w:rsidRPr="00DE6C9E" w:rsidRDefault="007919B5" w:rsidP="007919B5">
            <w:pPr>
              <w:widowControl w:val="0"/>
              <w:autoSpaceDE w:val="0"/>
              <w:autoSpaceDN w:val="0"/>
              <w:adjustRightInd w:val="0"/>
              <w:rPr>
                <w:sz w:val="20"/>
                <w:szCs w:val="20"/>
              </w:rPr>
            </w:pPr>
            <w:r w:rsidRPr="00DE6C9E">
              <w:rPr>
                <w:sz w:val="20"/>
                <w:szCs w:val="20"/>
              </w:rPr>
              <w:t>Observations</w:t>
            </w:r>
          </w:p>
        </w:tc>
        <w:tc>
          <w:tcPr>
            <w:tcW w:w="1584" w:type="dxa"/>
            <w:tcBorders>
              <w:top w:val="single" w:sz="6" w:space="0" w:color="auto"/>
              <w:left w:val="nil"/>
              <w:bottom w:val="nil"/>
              <w:right w:val="nil"/>
            </w:tcBorders>
          </w:tcPr>
          <w:p w14:paraId="4217A5E9"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1444</w:t>
            </w:r>
          </w:p>
        </w:tc>
        <w:tc>
          <w:tcPr>
            <w:tcW w:w="1584" w:type="dxa"/>
            <w:tcBorders>
              <w:top w:val="single" w:sz="6" w:space="0" w:color="auto"/>
              <w:left w:val="nil"/>
              <w:bottom w:val="nil"/>
              <w:right w:val="nil"/>
            </w:tcBorders>
          </w:tcPr>
          <w:p w14:paraId="2044AE5E"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1444</w:t>
            </w:r>
          </w:p>
        </w:tc>
        <w:tc>
          <w:tcPr>
            <w:tcW w:w="1584" w:type="dxa"/>
            <w:tcBorders>
              <w:top w:val="single" w:sz="6" w:space="0" w:color="auto"/>
              <w:left w:val="nil"/>
              <w:bottom w:val="nil"/>
              <w:right w:val="nil"/>
            </w:tcBorders>
          </w:tcPr>
          <w:p w14:paraId="05E21402"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1444</w:t>
            </w:r>
          </w:p>
        </w:tc>
      </w:tr>
      <w:tr w:rsidR="007919B5" w:rsidRPr="005B294B" w14:paraId="72C328E1" w14:textId="77777777" w:rsidTr="0048210B">
        <w:tblPrEx>
          <w:tblBorders>
            <w:bottom w:val="single" w:sz="6" w:space="0" w:color="auto"/>
          </w:tblBorders>
        </w:tblPrEx>
        <w:trPr>
          <w:jc w:val="center"/>
        </w:trPr>
        <w:tc>
          <w:tcPr>
            <w:tcW w:w="2610" w:type="dxa"/>
            <w:tcBorders>
              <w:top w:val="nil"/>
              <w:left w:val="nil"/>
              <w:bottom w:val="single" w:sz="6" w:space="0" w:color="auto"/>
              <w:right w:val="nil"/>
            </w:tcBorders>
          </w:tcPr>
          <w:p w14:paraId="512FE3C2" w14:textId="77777777" w:rsidR="007919B5" w:rsidRPr="00DE6C9E" w:rsidRDefault="007919B5" w:rsidP="007919B5">
            <w:pPr>
              <w:widowControl w:val="0"/>
              <w:autoSpaceDE w:val="0"/>
              <w:autoSpaceDN w:val="0"/>
              <w:adjustRightInd w:val="0"/>
              <w:rPr>
                <w:sz w:val="20"/>
                <w:szCs w:val="20"/>
              </w:rPr>
            </w:pPr>
            <w:r w:rsidRPr="00DE6C9E">
              <w:rPr>
                <w:sz w:val="20"/>
                <w:szCs w:val="20"/>
              </w:rPr>
              <w:t>R-squared</w:t>
            </w:r>
          </w:p>
        </w:tc>
        <w:tc>
          <w:tcPr>
            <w:tcW w:w="1584" w:type="dxa"/>
            <w:tcBorders>
              <w:top w:val="nil"/>
              <w:left w:val="nil"/>
              <w:bottom w:val="single" w:sz="6" w:space="0" w:color="auto"/>
              <w:right w:val="nil"/>
            </w:tcBorders>
          </w:tcPr>
          <w:p w14:paraId="354170E1"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0.404</w:t>
            </w:r>
          </w:p>
        </w:tc>
        <w:tc>
          <w:tcPr>
            <w:tcW w:w="1584" w:type="dxa"/>
            <w:tcBorders>
              <w:top w:val="nil"/>
              <w:left w:val="nil"/>
              <w:bottom w:val="single" w:sz="6" w:space="0" w:color="auto"/>
              <w:right w:val="nil"/>
            </w:tcBorders>
          </w:tcPr>
          <w:p w14:paraId="2A9434B1"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0.240</w:t>
            </w:r>
          </w:p>
        </w:tc>
        <w:tc>
          <w:tcPr>
            <w:tcW w:w="1584" w:type="dxa"/>
            <w:tcBorders>
              <w:top w:val="nil"/>
              <w:left w:val="nil"/>
              <w:bottom w:val="single" w:sz="6" w:space="0" w:color="auto"/>
              <w:right w:val="nil"/>
            </w:tcBorders>
          </w:tcPr>
          <w:p w14:paraId="12B632AF"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0.155</w:t>
            </w:r>
          </w:p>
        </w:tc>
      </w:tr>
    </w:tbl>
    <w:p w14:paraId="05AA9B83" w14:textId="220EF86D" w:rsidR="00D030D7" w:rsidRPr="00D030D7" w:rsidRDefault="00A20361" w:rsidP="007919B5">
      <w:pPr>
        <w:widowControl w:val="0"/>
        <w:autoSpaceDE w:val="0"/>
        <w:autoSpaceDN w:val="0"/>
        <w:adjustRightInd w:val="0"/>
        <w:jc w:val="both"/>
        <w:rPr>
          <w:rFonts w:ascii="Times" w:hAnsi="Times" w:cs="Times"/>
          <w:color w:val="000000"/>
          <w:sz w:val="21"/>
          <w:szCs w:val="21"/>
        </w:rPr>
      </w:pPr>
      <w:r w:rsidRPr="00D030D7">
        <w:rPr>
          <w:rFonts w:ascii="Times" w:hAnsi="Times" w:cs="Times"/>
          <w:color w:val="000000"/>
          <w:sz w:val="21"/>
          <w:szCs w:val="21"/>
        </w:rPr>
        <w:t xml:space="preserve">Notes: All regressions include the full vectors of control variables from column (5) of Table 3. </w:t>
      </w:r>
      <w:r w:rsidR="007919B5" w:rsidRPr="00D030D7">
        <w:rPr>
          <w:rFonts w:ascii="Times" w:hAnsi="Times" w:cs="Times"/>
          <w:color w:val="000000"/>
          <w:sz w:val="21"/>
          <w:szCs w:val="21"/>
        </w:rPr>
        <w:t>“Current Non elementary &amp; secondary” includes expenditures on community service, adult education, transfer to retirement system-instruction – other, and other non-elementary and secondary expenditure.</w:t>
      </w:r>
      <w:r w:rsidR="007919B5">
        <w:rPr>
          <w:rFonts w:ascii="Times" w:hAnsi="Times" w:cs="Times"/>
          <w:color w:val="000000"/>
          <w:sz w:val="21"/>
          <w:szCs w:val="21"/>
        </w:rPr>
        <w:t xml:space="preserve"> </w:t>
      </w:r>
      <w:r w:rsidR="007919B5" w:rsidRPr="00D030D7">
        <w:rPr>
          <w:rFonts w:ascii="Times" w:hAnsi="Times" w:cs="Times"/>
          <w:color w:val="000000"/>
          <w:sz w:val="21"/>
          <w:szCs w:val="21"/>
        </w:rPr>
        <w:t>“Capital Outlay” includes construction, land and existing structures, instructional equipment, and other non-specified equipment.</w:t>
      </w:r>
      <w:r w:rsidR="007919B5">
        <w:rPr>
          <w:rFonts w:ascii="Times" w:hAnsi="Times" w:cs="Times"/>
          <w:color w:val="000000"/>
          <w:sz w:val="21"/>
          <w:szCs w:val="21"/>
        </w:rPr>
        <w:t xml:space="preserve"> </w:t>
      </w:r>
      <w:r w:rsidR="007919B5" w:rsidRPr="00D030D7">
        <w:rPr>
          <w:rFonts w:ascii="Times" w:hAnsi="Times" w:cs="Times"/>
          <w:color w:val="000000"/>
          <w:sz w:val="21"/>
          <w:szCs w:val="21"/>
        </w:rPr>
        <w:t xml:space="preserve">Robust standard errors in parentheses are clustered on CZ. Models are weighted by start of period CZ share of national population. </w:t>
      </w:r>
      <w:r w:rsidR="00D030D7" w:rsidRPr="00D030D7">
        <w:rPr>
          <w:rFonts w:ascii="Times" w:hAnsi="Times" w:cs="Times"/>
          <w:color w:val="000000"/>
          <w:sz w:val="21"/>
          <w:szCs w:val="21"/>
        </w:rPr>
        <w:t>* p&lt;0.05, ** p&lt;0.01, *** p&lt;0.001</w:t>
      </w:r>
    </w:p>
    <w:p w14:paraId="2AA8671D" w14:textId="7D1C9274" w:rsidR="00A20361" w:rsidRPr="00D030D7" w:rsidRDefault="00A20361" w:rsidP="00D030D7">
      <w:pPr>
        <w:widowControl w:val="0"/>
        <w:autoSpaceDE w:val="0"/>
        <w:autoSpaceDN w:val="0"/>
        <w:adjustRightInd w:val="0"/>
        <w:spacing w:after="240"/>
        <w:jc w:val="both"/>
        <w:rPr>
          <w:rFonts w:ascii="Times" w:hAnsi="Times" w:cs="Times"/>
          <w:color w:val="000000"/>
          <w:sz w:val="21"/>
          <w:szCs w:val="21"/>
        </w:rPr>
      </w:pPr>
    </w:p>
    <w:p w14:paraId="03335110" w14:textId="77777777" w:rsidR="00A20361" w:rsidRPr="005B294B" w:rsidRDefault="00A20361" w:rsidP="00A20361">
      <w:pPr>
        <w:widowControl w:val="0"/>
        <w:autoSpaceDE w:val="0"/>
        <w:autoSpaceDN w:val="0"/>
        <w:adjustRightInd w:val="0"/>
        <w:spacing w:after="240"/>
        <w:rPr>
          <w:rFonts w:ascii="Times" w:hAnsi="Times" w:cs="Times"/>
          <w:i/>
          <w:iCs/>
          <w:color w:val="000000"/>
          <w:sz w:val="21"/>
          <w:szCs w:val="21"/>
        </w:rPr>
      </w:pPr>
    </w:p>
    <w:p w14:paraId="62B97893" w14:textId="77777777" w:rsidR="00A20361" w:rsidRPr="005B294B" w:rsidRDefault="00A20361" w:rsidP="00A20361">
      <w:pPr>
        <w:jc w:val="both"/>
        <w:rPr>
          <w:rFonts w:ascii="Times" w:hAnsi="Times" w:cs="Times"/>
          <w:color w:val="000000"/>
        </w:rPr>
      </w:pPr>
    </w:p>
    <w:p w14:paraId="00538E3A" w14:textId="77777777" w:rsidR="00A20361" w:rsidRPr="005B294B" w:rsidRDefault="00A20361" w:rsidP="00A20361">
      <w:pPr>
        <w:rPr>
          <w:rFonts w:ascii="Times" w:hAnsi="Times" w:cs="Times"/>
          <w:color w:val="000000"/>
        </w:rPr>
      </w:pPr>
      <w:r w:rsidRPr="005B294B">
        <w:rPr>
          <w:rFonts w:ascii="Times" w:hAnsi="Times" w:cs="Times"/>
          <w:color w:val="000000"/>
        </w:rPr>
        <w:br w:type="page"/>
      </w:r>
    </w:p>
    <w:p w14:paraId="208403FD" w14:textId="77777777" w:rsidR="00A20361" w:rsidRPr="00841E1D" w:rsidRDefault="00A20361" w:rsidP="00841E1D">
      <w:pPr>
        <w:rPr>
          <w:rFonts w:ascii="Times" w:hAnsi="Times" w:cs="Times"/>
          <w:b/>
          <w:bCs/>
          <w:color w:val="000000"/>
        </w:rPr>
      </w:pPr>
      <w:r w:rsidRPr="00841E1D">
        <w:rPr>
          <w:rFonts w:ascii="Times" w:hAnsi="Times" w:cs="Times"/>
          <w:b/>
          <w:bCs/>
          <w:color w:val="000000"/>
        </w:rPr>
        <w:lastRenderedPageBreak/>
        <w:t>Table 6 Import from China and per-pupil expenditures on different current elementary and secondary sector 1990-2007, 2SLS</w:t>
      </w:r>
    </w:p>
    <w:p w14:paraId="0399CE3E" w14:textId="77777777" w:rsidR="00A20361" w:rsidRPr="005B294B" w:rsidRDefault="00A20361" w:rsidP="00A20361">
      <w:pPr>
        <w:jc w:val="center"/>
        <w:rPr>
          <w:rFonts w:ascii="Times" w:hAnsi="Times" w:cs="Times"/>
          <w:color w:val="000000"/>
        </w:rPr>
      </w:pPr>
      <w:r w:rsidRPr="005B294B">
        <w:rPr>
          <w:rFonts w:ascii="Times" w:hAnsi="Times" w:cs="Times"/>
          <w:color w:val="000000"/>
        </w:rPr>
        <w:t>Dependent Variable: Ten-year equivalent changes in per-pupil expenditures on different sectors / $1000</w:t>
      </w:r>
    </w:p>
    <w:p w14:paraId="3E89CD68" w14:textId="77777777" w:rsidR="00A20361" w:rsidRPr="005B294B" w:rsidRDefault="00A20361" w:rsidP="00A20361">
      <w:pPr>
        <w:jc w:val="center"/>
        <w:rPr>
          <w:rFonts w:ascii="Times" w:hAnsi="Times" w:cs="Times"/>
          <w:color w:val="000000"/>
        </w:rPr>
      </w:pPr>
    </w:p>
    <w:tbl>
      <w:tblPr>
        <w:tblW w:w="7362" w:type="dxa"/>
        <w:jc w:val="center"/>
        <w:tblLayout w:type="fixed"/>
        <w:tblCellMar>
          <w:left w:w="75" w:type="dxa"/>
          <w:right w:w="75" w:type="dxa"/>
        </w:tblCellMar>
        <w:tblLook w:val="0000" w:firstRow="0" w:lastRow="0" w:firstColumn="0" w:lastColumn="0" w:noHBand="0" w:noVBand="0"/>
      </w:tblPr>
      <w:tblGrid>
        <w:gridCol w:w="2610"/>
        <w:gridCol w:w="1584"/>
        <w:gridCol w:w="1584"/>
        <w:gridCol w:w="1584"/>
      </w:tblGrid>
      <w:tr w:rsidR="00A20361" w:rsidRPr="005B294B" w14:paraId="3647202C" w14:textId="77777777" w:rsidTr="0048210B">
        <w:trPr>
          <w:jc w:val="center"/>
        </w:trPr>
        <w:tc>
          <w:tcPr>
            <w:tcW w:w="2610" w:type="dxa"/>
            <w:tcBorders>
              <w:top w:val="single" w:sz="6" w:space="0" w:color="auto"/>
              <w:left w:val="nil"/>
              <w:bottom w:val="single" w:sz="4" w:space="0" w:color="auto"/>
              <w:right w:val="nil"/>
            </w:tcBorders>
          </w:tcPr>
          <w:p w14:paraId="4799E10D" w14:textId="77777777" w:rsidR="00A20361" w:rsidRPr="00DE6C9E" w:rsidRDefault="00A20361" w:rsidP="0048210B">
            <w:pPr>
              <w:widowControl w:val="0"/>
              <w:autoSpaceDE w:val="0"/>
              <w:autoSpaceDN w:val="0"/>
              <w:adjustRightInd w:val="0"/>
              <w:rPr>
                <w:sz w:val="20"/>
                <w:szCs w:val="20"/>
              </w:rPr>
            </w:pPr>
          </w:p>
        </w:tc>
        <w:tc>
          <w:tcPr>
            <w:tcW w:w="1584" w:type="dxa"/>
            <w:tcBorders>
              <w:top w:val="single" w:sz="6" w:space="0" w:color="auto"/>
              <w:left w:val="nil"/>
              <w:bottom w:val="single" w:sz="4" w:space="0" w:color="auto"/>
              <w:right w:val="nil"/>
            </w:tcBorders>
          </w:tcPr>
          <w:p w14:paraId="755B9A7E" w14:textId="6793E43D" w:rsidR="00A20361" w:rsidRPr="00DE6C9E" w:rsidRDefault="00A20361" w:rsidP="0048210B">
            <w:pPr>
              <w:widowControl w:val="0"/>
              <w:autoSpaceDE w:val="0"/>
              <w:autoSpaceDN w:val="0"/>
              <w:adjustRightInd w:val="0"/>
              <w:jc w:val="center"/>
              <w:rPr>
                <w:sz w:val="20"/>
                <w:szCs w:val="20"/>
              </w:rPr>
            </w:pPr>
            <w:r w:rsidRPr="00DE6C9E">
              <w:rPr>
                <w:sz w:val="20"/>
                <w:szCs w:val="20"/>
              </w:rPr>
              <w:t xml:space="preserve">(1)                  </w:t>
            </w:r>
            <m:oMath>
              <m:r>
                <m:rPr>
                  <m:sty m:val="p"/>
                </m:rPr>
                <w:rPr>
                  <w:rFonts w:ascii="Cambria Math" w:hAnsi="Cambria Math"/>
                  <w:sz w:val="20"/>
                  <w:szCs w:val="20"/>
                </w:rPr>
                <m:t>∆</m:t>
              </m:r>
            </m:oMath>
            <w:r w:rsidRPr="00DE6C9E">
              <w:rPr>
                <w:sz w:val="20"/>
                <w:szCs w:val="20"/>
              </w:rPr>
              <w:t xml:space="preserve">Instruction                         </w:t>
            </w:r>
          </w:p>
        </w:tc>
        <w:tc>
          <w:tcPr>
            <w:tcW w:w="1584" w:type="dxa"/>
            <w:tcBorders>
              <w:top w:val="single" w:sz="6" w:space="0" w:color="auto"/>
              <w:left w:val="nil"/>
              <w:bottom w:val="single" w:sz="4" w:space="0" w:color="auto"/>
              <w:right w:val="nil"/>
            </w:tcBorders>
          </w:tcPr>
          <w:p w14:paraId="5642CDC1"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(2)</w:t>
            </w:r>
          </w:p>
          <w:p w14:paraId="5BDC5A3A" w14:textId="011396FC"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 xml:space="preserve"> ∆</m:t>
              </m:r>
            </m:oMath>
            <w:r w:rsidRPr="00DE6C9E">
              <w:rPr>
                <w:sz w:val="20"/>
                <w:szCs w:val="20"/>
              </w:rPr>
              <w:t xml:space="preserve">Support service                                   </w:t>
            </w:r>
          </w:p>
        </w:tc>
        <w:tc>
          <w:tcPr>
            <w:tcW w:w="1584" w:type="dxa"/>
            <w:tcBorders>
              <w:top w:val="single" w:sz="6" w:space="0" w:color="auto"/>
              <w:left w:val="nil"/>
              <w:bottom w:val="single" w:sz="4" w:space="0" w:color="auto"/>
              <w:right w:val="nil"/>
            </w:tcBorders>
          </w:tcPr>
          <w:p w14:paraId="2F7E393D"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w:p>
          <w:p w14:paraId="1866AEA8" w14:textId="2FA7D5D3"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 xml:space="preserve"> ∆</m:t>
              </m:r>
            </m:oMath>
            <w:r w:rsidRPr="00DE6C9E">
              <w:rPr>
                <w:sz w:val="20"/>
                <w:szCs w:val="20"/>
              </w:rPr>
              <w:t xml:space="preserve">Other   </w:t>
            </w:r>
          </w:p>
        </w:tc>
      </w:tr>
      <w:tr w:rsidR="00A20361" w:rsidRPr="005B294B" w14:paraId="1B96FA4A" w14:textId="77777777" w:rsidTr="0048210B">
        <w:trPr>
          <w:trHeight w:val="332"/>
          <w:jc w:val="center"/>
        </w:trPr>
        <w:tc>
          <w:tcPr>
            <w:tcW w:w="2610" w:type="dxa"/>
            <w:tcBorders>
              <w:top w:val="single" w:sz="4" w:space="0" w:color="auto"/>
              <w:left w:val="nil"/>
              <w:bottom w:val="nil"/>
              <w:right w:val="nil"/>
            </w:tcBorders>
          </w:tcPr>
          <w:p w14:paraId="61AA1A37" w14:textId="77777777" w:rsidR="00A20361" w:rsidRPr="00DE6C9E" w:rsidRDefault="00A20361" w:rsidP="0048210B">
            <w:pPr>
              <w:widowControl w:val="0"/>
              <w:autoSpaceDE w:val="0"/>
              <w:autoSpaceDN w:val="0"/>
              <w:adjustRightInd w:val="0"/>
              <w:rPr>
                <w:sz w:val="20"/>
                <w:szCs w:val="20"/>
              </w:rPr>
            </w:pPr>
          </w:p>
        </w:tc>
        <w:tc>
          <w:tcPr>
            <w:tcW w:w="1584" w:type="dxa"/>
            <w:tcBorders>
              <w:top w:val="single" w:sz="4" w:space="0" w:color="auto"/>
              <w:left w:val="nil"/>
              <w:bottom w:val="nil"/>
              <w:right w:val="nil"/>
            </w:tcBorders>
          </w:tcPr>
          <w:p w14:paraId="55BC8ED7" w14:textId="77777777" w:rsidR="00A20361" w:rsidRPr="00DE6C9E" w:rsidRDefault="00A20361" w:rsidP="0048210B">
            <w:pPr>
              <w:widowControl w:val="0"/>
              <w:autoSpaceDE w:val="0"/>
              <w:autoSpaceDN w:val="0"/>
              <w:adjustRightInd w:val="0"/>
              <w:jc w:val="center"/>
              <w:rPr>
                <w:sz w:val="20"/>
                <w:szCs w:val="20"/>
              </w:rPr>
            </w:pPr>
          </w:p>
        </w:tc>
        <w:tc>
          <w:tcPr>
            <w:tcW w:w="1584" w:type="dxa"/>
            <w:tcBorders>
              <w:top w:val="single" w:sz="4" w:space="0" w:color="auto"/>
              <w:left w:val="nil"/>
              <w:bottom w:val="nil"/>
              <w:right w:val="nil"/>
            </w:tcBorders>
          </w:tcPr>
          <w:p w14:paraId="3DC0A64C" w14:textId="77777777" w:rsidR="00A20361" w:rsidRPr="00DE6C9E" w:rsidRDefault="00A20361" w:rsidP="0048210B">
            <w:pPr>
              <w:widowControl w:val="0"/>
              <w:autoSpaceDE w:val="0"/>
              <w:autoSpaceDN w:val="0"/>
              <w:adjustRightInd w:val="0"/>
              <w:jc w:val="center"/>
              <w:rPr>
                <w:sz w:val="20"/>
                <w:szCs w:val="20"/>
              </w:rPr>
            </w:pPr>
          </w:p>
        </w:tc>
        <w:tc>
          <w:tcPr>
            <w:tcW w:w="1584" w:type="dxa"/>
            <w:tcBorders>
              <w:top w:val="single" w:sz="4" w:space="0" w:color="auto"/>
              <w:left w:val="nil"/>
              <w:bottom w:val="nil"/>
              <w:right w:val="nil"/>
            </w:tcBorders>
          </w:tcPr>
          <w:p w14:paraId="22B8836F" w14:textId="77777777" w:rsidR="00A20361" w:rsidRPr="00DE6C9E" w:rsidRDefault="00A20361" w:rsidP="0048210B">
            <w:pPr>
              <w:widowControl w:val="0"/>
              <w:autoSpaceDE w:val="0"/>
              <w:autoSpaceDN w:val="0"/>
              <w:adjustRightInd w:val="0"/>
              <w:jc w:val="center"/>
              <w:rPr>
                <w:sz w:val="20"/>
                <w:szCs w:val="20"/>
              </w:rPr>
            </w:pPr>
          </w:p>
        </w:tc>
      </w:tr>
      <w:tr w:rsidR="00A20361" w:rsidRPr="005B294B" w14:paraId="2638C5F3" w14:textId="77777777" w:rsidTr="0048210B">
        <w:trPr>
          <w:jc w:val="center"/>
        </w:trPr>
        <w:tc>
          <w:tcPr>
            <w:tcW w:w="2610" w:type="dxa"/>
            <w:tcBorders>
              <w:top w:val="nil"/>
              <w:left w:val="nil"/>
              <w:bottom w:val="nil"/>
              <w:right w:val="nil"/>
            </w:tcBorders>
          </w:tcPr>
          <w:p w14:paraId="0A0CAEDF" w14:textId="77777777" w:rsidR="00A20361" w:rsidRPr="00DE6C9E" w:rsidRDefault="00157748" w:rsidP="0048210B">
            <w:pPr>
              <w:widowControl w:val="0"/>
              <w:autoSpaceDE w:val="0"/>
              <w:autoSpaceDN w:val="0"/>
              <w:adjustRightInd w:val="0"/>
              <w:rPr>
                <w:sz w:val="20"/>
                <w:szCs w:val="20"/>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584" w:type="dxa"/>
            <w:tcBorders>
              <w:top w:val="nil"/>
              <w:left w:val="nil"/>
              <w:bottom w:val="nil"/>
              <w:right w:val="nil"/>
            </w:tcBorders>
          </w:tcPr>
          <w:p w14:paraId="239D4727"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-0.119*</w:t>
            </w:r>
            <w:r w:rsidRPr="00DE6C9E">
              <w:rPr>
                <w:rFonts w:hint="eastAsia"/>
                <w:sz w:val="20"/>
                <w:szCs w:val="20"/>
              </w:rPr>
              <w:t>*</w:t>
            </w:r>
            <w:r w:rsidRPr="00DE6C9E">
              <w:rPr>
                <w:sz w:val="20"/>
                <w:szCs w:val="20"/>
              </w:rPr>
              <w:t xml:space="preserve">                                 </w:t>
            </w:r>
          </w:p>
        </w:tc>
        <w:tc>
          <w:tcPr>
            <w:tcW w:w="1584" w:type="dxa"/>
            <w:tcBorders>
              <w:top w:val="nil"/>
              <w:left w:val="nil"/>
              <w:bottom w:val="nil"/>
              <w:right w:val="nil"/>
            </w:tcBorders>
          </w:tcPr>
          <w:p w14:paraId="63BF681A"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-0.042*</w:t>
            </w:r>
          </w:p>
        </w:tc>
        <w:tc>
          <w:tcPr>
            <w:tcW w:w="1584" w:type="dxa"/>
            <w:tcBorders>
              <w:top w:val="nil"/>
              <w:left w:val="nil"/>
              <w:bottom w:val="nil"/>
              <w:right w:val="nil"/>
            </w:tcBorders>
          </w:tcPr>
          <w:p w14:paraId="41098B7B"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-0.002</w:t>
            </w:r>
          </w:p>
        </w:tc>
      </w:tr>
      <w:tr w:rsidR="00A20361" w:rsidRPr="005B294B" w14:paraId="25239707" w14:textId="77777777" w:rsidTr="0048210B">
        <w:trPr>
          <w:jc w:val="center"/>
        </w:trPr>
        <w:tc>
          <w:tcPr>
            <w:tcW w:w="2610" w:type="dxa"/>
            <w:tcBorders>
              <w:top w:val="nil"/>
              <w:left w:val="nil"/>
              <w:bottom w:val="nil"/>
              <w:right w:val="nil"/>
            </w:tcBorders>
          </w:tcPr>
          <w:p w14:paraId="6B0ED411" w14:textId="77777777" w:rsidR="00A20361" w:rsidRPr="00DE6C9E" w:rsidRDefault="00A20361" w:rsidP="0048210B">
            <w:pPr>
              <w:widowControl w:val="0"/>
              <w:autoSpaceDE w:val="0"/>
              <w:autoSpaceDN w:val="0"/>
              <w:adjustRightInd w:val="0"/>
              <w:rPr>
                <w:sz w:val="20"/>
                <w:szCs w:val="20"/>
              </w:rPr>
            </w:pPr>
          </w:p>
        </w:tc>
        <w:tc>
          <w:tcPr>
            <w:tcW w:w="1584" w:type="dxa"/>
            <w:tcBorders>
              <w:top w:val="nil"/>
              <w:left w:val="nil"/>
              <w:bottom w:val="nil"/>
              <w:right w:val="nil"/>
            </w:tcBorders>
          </w:tcPr>
          <w:p w14:paraId="32EA7362"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(0.041)</w:t>
            </w:r>
          </w:p>
        </w:tc>
        <w:tc>
          <w:tcPr>
            <w:tcW w:w="1584" w:type="dxa"/>
            <w:tcBorders>
              <w:top w:val="nil"/>
              <w:left w:val="nil"/>
              <w:bottom w:val="nil"/>
              <w:right w:val="nil"/>
            </w:tcBorders>
          </w:tcPr>
          <w:p w14:paraId="67593CF5"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(0.018)</w:t>
            </w:r>
          </w:p>
        </w:tc>
        <w:tc>
          <w:tcPr>
            <w:tcW w:w="1584" w:type="dxa"/>
            <w:tcBorders>
              <w:top w:val="nil"/>
              <w:left w:val="nil"/>
              <w:bottom w:val="nil"/>
              <w:right w:val="nil"/>
            </w:tcBorders>
          </w:tcPr>
          <w:p w14:paraId="6584725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(0.003)</w:t>
            </w:r>
          </w:p>
        </w:tc>
      </w:tr>
      <w:tr w:rsidR="00A20361" w:rsidRPr="005B294B" w14:paraId="79AB05BD" w14:textId="77777777" w:rsidTr="0048210B">
        <w:tblPrEx>
          <w:tblBorders>
            <w:bottom w:val="single" w:sz="6" w:space="0" w:color="auto"/>
          </w:tblBorders>
        </w:tblPrEx>
        <w:trPr>
          <w:jc w:val="center"/>
        </w:trPr>
        <w:tc>
          <w:tcPr>
            <w:tcW w:w="2610" w:type="dxa"/>
            <w:tcBorders>
              <w:top w:val="nil"/>
              <w:left w:val="nil"/>
              <w:bottom w:val="single" w:sz="6" w:space="0" w:color="auto"/>
              <w:right w:val="nil"/>
            </w:tcBorders>
          </w:tcPr>
          <w:p w14:paraId="6165A116" w14:textId="77777777" w:rsidR="00A20361" w:rsidRPr="00DE6C9E" w:rsidRDefault="00A20361" w:rsidP="0048210B">
            <w:pPr>
              <w:widowControl w:val="0"/>
              <w:autoSpaceDE w:val="0"/>
              <w:autoSpaceDN w:val="0"/>
              <w:adjustRightInd w:val="0"/>
              <w:rPr>
                <w:sz w:val="20"/>
                <w:szCs w:val="20"/>
              </w:rPr>
            </w:pPr>
          </w:p>
        </w:tc>
        <w:tc>
          <w:tcPr>
            <w:tcW w:w="1584" w:type="dxa"/>
            <w:tcBorders>
              <w:top w:val="nil"/>
              <w:left w:val="nil"/>
              <w:bottom w:val="single" w:sz="6" w:space="0" w:color="auto"/>
              <w:right w:val="nil"/>
            </w:tcBorders>
          </w:tcPr>
          <w:p w14:paraId="12E1B604" w14:textId="77777777" w:rsidR="00A20361" w:rsidRPr="00DE6C9E" w:rsidRDefault="00A20361" w:rsidP="0048210B">
            <w:pPr>
              <w:widowControl w:val="0"/>
              <w:autoSpaceDE w:val="0"/>
              <w:autoSpaceDN w:val="0"/>
              <w:adjustRightInd w:val="0"/>
              <w:rPr>
                <w:sz w:val="20"/>
                <w:szCs w:val="20"/>
              </w:rPr>
            </w:pPr>
          </w:p>
        </w:tc>
        <w:tc>
          <w:tcPr>
            <w:tcW w:w="1584" w:type="dxa"/>
            <w:tcBorders>
              <w:top w:val="nil"/>
              <w:left w:val="nil"/>
              <w:bottom w:val="single" w:sz="6" w:space="0" w:color="auto"/>
              <w:right w:val="nil"/>
            </w:tcBorders>
          </w:tcPr>
          <w:p w14:paraId="781075F1" w14:textId="77777777" w:rsidR="00A20361" w:rsidRPr="00DE6C9E" w:rsidRDefault="00A20361" w:rsidP="0048210B">
            <w:pPr>
              <w:widowControl w:val="0"/>
              <w:autoSpaceDE w:val="0"/>
              <w:autoSpaceDN w:val="0"/>
              <w:adjustRightInd w:val="0"/>
              <w:rPr>
                <w:sz w:val="20"/>
                <w:szCs w:val="20"/>
              </w:rPr>
            </w:pPr>
          </w:p>
        </w:tc>
        <w:tc>
          <w:tcPr>
            <w:tcW w:w="1584" w:type="dxa"/>
            <w:tcBorders>
              <w:top w:val="nil"/>
              <w:left w:val="nil"/>
              <w:bottom w:val="single" w:sz="6" w:space="0" w:color="auto"/>
              <w:right w:val="nil"/>
            </w:tcBorders>
          </w:tcPr>
          <w:p w14:paraId="2A898B20" w14:textId="77777777" w:rsidR="00A20361" w:rsidRPr="00DE6C9E" w:rsidRDefault="00A20361" w:rsidP="0048210B">
            <w:pPr>
              <w:widowControl w:val="0"/>
              <w:autoSpaceDE w:val="0"/>
              <w:autoSpaceDN w:val="0"/>
              <w:adjustRightInd w:val="0"/>
              <w:rPr>
                <w:sz w:val="20"/>
                <w:szCs w:val="20"/>
              </w:rPr>
            </w:pPr>
          </w:p>
        </w:tc>
      </w:tr>
      <w:tr w:rsidR="007919B5" w:rsidRPr="005B294B" w14:paraId="01E5E687" w14:textId="77777777" w:rsidTr="0048210B">
        <w:tblPrEx>
          <w:tblBorders>
            <w:bottom w:val="single" w:sz="6" w:space="0" w:color="auto"/>
          </w:tblBorders>
        </w:tblPrEx>
        <w:trPr>
          <w:jc w:val="center"/>
        </w:trPr>
        <w:tc>
          <w:tcPr>
            <w:tcW w:w="2610" w:type="dxa"/>
            <w:tcBorders>
              <w:top w:val="single" w:sz="6" w:space="0" w:color="auto"/>
              <w:left w:val="nil"/>
              <w:bottom w:val="nil"/>
              <w:right w:val="nil"/>
            </w:tcBorders>
          </w:tcPr>
          <w:p w14:paraId="097A2552" w14:textId="3BABE3E6" w:rsidR="007919B5" w:rsidRPr="00DE6C9E" w:rsidRDefault="007919B5" w:rsidP="007919B5">
            <w:pPr>
              <w:widowControl w:val="0"/>
              <w:autoSpaceDE w:val="0"/>
              <w:autoSpaceDN w:val="0"/>
              <w:adjustRightInd w:val="0"/>
              <w:rPr>
                <w:sz w:val="20"/>
                <w:szCs w:val="20"/>
              </w:rPr>
            </w:pPr>
            <w:r w:rsidRPr="00DE6C9E">
              <w:rPr>
                <w:sz w:val="20"/>
                <w:szCs w:val="20"/>
              </w:rPr>
              <w:t>Average Dependent Variable</w:t>
            </w:r>
          </w:p>
        </w:tc>
        <w:tc>
          <w:tcPr>
            <w:tcW w:w="1584" w:type="dxa"/>
            <w:tcBorders>
              <w:top w:val="single" w:sz="6" w:space="0" w:color="auto"/>
              <w:left w:val="nil"/>
              <w:bottom w:val="nil"/>
              <w:right w:val="nil"/>
            </w:tcBorders>
          </w:tcPr>
          <w:p w14:paraId="2DF65DDB" w14:textId="5F3087FF" w:rsidR="007919B5" w:rsidRPr="00DE6C9E" w:rsidRDefault="00841E1D" w:rsidP="007919B5">
            <w:pPr>
              <w:widowControl w:val="0"/>
              <w:autoSpaceDE w:val="0"/>
              <w:autoSpaceDN w:val="0"/>
              <w:adjustRightInd w:val="0"/>
              <w:jc w:val="center"/>
              <w:rPr>
                <w:sz w:val="20"/>
                <w:szCs w:val="20"/>
              </w:rPr>
            </w:pPr>
            <w:r>
              <w:rPr>
                <w:sz w:val="20"/>
                <w:szCs w:val="20"/>
              </w:rPr>
              <w:t>4.053</w:t>
            </w:r>
          </w:p>
        </w:tc>
        <w:tc>
          <w:tcPr>
            <w:tcW w:w="1584" w:type="dxa"/>
            <w:tcBorders>
              <w:top w:val="single" w:sz="6" w:space="0" w:color="auto"/>
              <w:left w:val="nil"/>
              <w:bottom w:val="nil"/>
              <w:right w:val="nil"/>
            </w:tcBorders>
          </w:tcPr>
          <w:p w14:paraId="5F7B74B2" w14:textId="5DD90613" w:rsidR="007919B5" w:rsidRPr="00DE6C9E" w:rsidRDefault="00841E1D" w:rsidP="007919B5">
            <w:pPr>
              <w:widowControl w:val="0"/>
              <w:autoSpaceDE w:val="0"/>
              <w:autoSpaceDN w:val="0"/>
              <w:adjustRightInd w:val="0"/>
              <w:jc w:val="center"/>
              <w:rPr>
                <w:sz w:val="20"/>
                <w:szCs w:val="20"/>
              </w:rPr>
            </w:pPr>
            <w:r>
              <w:rPr>
                <w:sz w:val="20"/>
                <w:szCs w:val="20"/>
              </w:rPr>
              <w:t>2.212</w:t>
            </w:r>
          </w:p>
        </w:tc>
        <w:tc>
          <w:tcPr>
            <w:tcW w:w="1584" w:type="dxa"/>
            <w:tcBorders>
              <w:top w:val="single" w:sz="6" w:space="0" w:color="auto"/>
              <w:left w:val="nil"/>
              <w:bottom w:val="nil"/>
              <w:right w:val="nil"/>
            </w:tcBorders>
          </w:tcPr>
          <w:p w14:paraId="1E38BE36" w14:textId="69CAE024" w:rsidR="007919B5" w:rsidRPr="00DE6C9E" w:rsidRDefault="007919B5" w:rsidP="007919B5">
            <w:pPr>
              <w:widowControl w:val="0"/>
              <w:autoSpaceDE w:val="0"/>
              <w:autoSpaceDN w:val="0"/>
              <w:adjustRightInd w:val="0"/>
              <w:jc w:val="center"/>
              <w:rPr>
                <w:sz w:val="20"/>
                <w:szCs w:val="20"/>
              </w:rPr>
            </w:pPr>
            <w:r w:rsidRPr="00DE6C9E">
              <w:rPr>
                <w:rFonts w:hint="eastAsia"/>
                <w:sz w:val="20"/>
                <w:szCs w:val="20"/>
              </w:rPr>
              <w:t>0.</w:t>
            </w:r>
            <w:r w:rsidR="00841E1D">
              <w:rPr>
                <w:sz w:val="20"/>
                <w:szCs w:val="20"/>
              </w:rPr>
              <w:t>362</w:t>
            </w:r>
          </w:p>
        </w:tc>
      </w:tr>
      <w:tr w:rsidR="007919B5" w:rsidRPr="005B294B" w14:paraId="3BAEF388" w14:textId="77777777" w:rsidTr="0048210B">
        <w:tblPrEx>
          <w:tblBorders>
            <w:bottom w:val="single" w:sz="6" w:space="0" w:color="auto"/>
          </w:tblBorders>
        </w:tblPrEx>
        <w:trPr>
          <w:jc w:val="center"/>
        </w:trPr>
        <w:tc>
          <w:tcPr>
            <w:tcW w:w="2610" w:type="dxa"/>
            <w:tcBorders>
              <w:top w:val="single" w:sz="6" w:space="0" w:color="auto"/>
              <w:left w:val="nil"/>
              <w:bottom w:val="nil"/>
              <w:right w:val="nil"/>
            </w:tcBorders>
          </w:tcPr>
          <w:p w14:paraId="31082FED" w14:textId="77777777" w:rsidR="007919B5" w:rsidRPr="00DE6C9E" w:rsidRDefault="007919B5" w:rsidP="007919B5">
            <w:pPr>
              <w:widowControl w:val="0"/>
              <w:autoSpaceDE w:val="0"/>
              <w:autoSpaceDN w:val="0"/>
              <w:adjustRightInd w:val="0"/>
              <w:rPr>
                <w:sz w:val="20"/>
                <w:szCs w:val="20"/>
              </w:rPr>
            </w:pPr>
            <w:r w:rsidRPr="00DE6C9E">
              <w:rPr>
                <w:sz w:val="20"/>
                <w:szCs w:val="20"/>
              </w:rPr>
              <w:t>Observations</w:t>
            </w:r>
          </w:p>
        </w:tc>
        <w:tc>
          <w:tcPr>
            <w:tcW w:w="1584" w:type="dxa"/>
            <w:tcBorders>
              <w:top w:val="single" w:sz="6" w:space="0" w:color="auto"/>
              <w:left w:val="nil"/>
              <w:bottom w:val="nil"/>
              <w:right w:val="nil"/>
            </w:tcBorders>
          </w:tcPr>
          <w:p w14:paraId="22237223"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1444</w:t>
            </w:r>
          </w:p>
        </w:tc>
        <w:tc>
          <w:tcPr>
            <w:tcW w:w="1584" w:type="dxa"/>
            <w:tcBorders>
              <w:top w:val="single" w:sz="6" w:space="0" w:color="auto"/>
              <w:left w:val="nil"/>
              <w:bottom w:val="nil"/>
              <w:right w:val="nil"/>
            </w:tcBorders>
          </w:tcPr>
          <w:p w14:paraId="44DE76CA"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1444</w:t>
            </w:r>
          </w:p>
        </w:tc>
        <w:tc>
          <w:tcPr>
            <w:tcW w:w="1584" w:type="dxa"/>
            <w:tcBorders>
              <w:top w:val="single" w:sz="6" w:space="0" w:color="auto"/>
              <w:left w:val="nil"/>
              <w:bottom w:val="nil"/>
              <w:right w:val="nil"/>
            </w:tcBorders>
          </w:tcPr>
          <w:p w14:paraId="25800790"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1444</w:t>
            </w:r>
          </w:p>
        </w:tc>
      </w:tr>
      <w:tr w:rsidR="007919B5" w:rsidRPr="005B294B" w14:paraId="26DDA821" w14:textId="77777777" w:rsidTr="0048210B">
        <w:tblPrEx>
          <w:tblBorders>
            <w:bottom w:val="single" w:sz="6" w:space="0" w:color="auto"/>
          </w:tblBorders>
        </w:tblPrEx>
        <w:trPr>
          <w:jc w:val="center"/>
        </w:trPr>
        <w:tc>
          <w:tcPr>
            <w:tcW w:w="2610" w:type="dxa"/>
            <w:tcBorders>
              <w:top w:val="nil"/>
              <w:left w:val="nil"/>
              <w:bottom w:val="single" w:sz="6" w:space="0" w:color="auto"/>
              <w:right w:val="nil"/>
            </w:tcBorders>
          </w:tcPr>
          <w:p w14:paraId="41C1888A" w14:textId="77777777" w:rsidR="007919B5" w:rsidRPr="00DE6C9E" w:rsidRDefault="007919B5" w:rsidP="007919B5">
            <w:pPr>
              <w:widowControl w:val="0"/>
              <w:autoSpaceDE w:val="0"/>
              <w:autoSpaceDN w:val="0"/>
              <w:adjustRightInd w:val="0"/>
              <w:rPr>
                <w:sz w:val="20"/>
                <w:szCs w:val="20"/>
              </w:rPr>
            </w:pPr>
            <w:r w:rsidRPr="00DE6C9E">
              <w:rPr>
                <w:sz w:val="20"/>
                <w:szCs w:val="20"/>
              </w:rPr>
              <w:t>R-squared</w:t>
            </w:r>
          </w:p>
        </w:tc>
        <w:tc>
          <w:tcPr>
            <w:tcW w:w="1584" w:type="dxa"/>
            <w:tcBorders>
              <w:top w:val="nil"/>
              <w:left w:val="nil"/>
              <w:bottom w:val="single" w:sz="6" w:space="0" w:color="auto"/>
              <w:right w:val="nil"/>
            </w:tcBorders>
          </w:tcPr>
          <w:p w14:paraId="389FF1B2"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0.444</w:t>
            </w:r>
          </w:p>
        </w:tc>
        <w:tc>
          <w:tcPr>
            <w:tcW w:w="1584" w:type="dxa"/>
            <w:tcBorders>
              <w:top w:val="nil"/>
              <w:left w:val="nil"/>
              <w:bottom w:val="single" w:sz="6" w:space="0" w:color="auto"/>
              <w:right w:val="nil"/>
            </w:tcBorders>
          </w:tcPr>
          <w:p w14:paraId="6B081227"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0.325</w:t>
            </w:r>
          </w:p>
        </w:tc>
        <w:tc>
          <w:tcPr>
            <w:tcW w:w="1584" w:type="dxa"/>
            <w:tcBorders>
              <w:top w:val="nil"/>
              <w:left w:val="nil"/>
              <w:bottom w:val="single" w:sz="6" w:space="0" w:color="auto"/>
              <w:right w:val="nil"/>
            </w:tcBorders>
          </w:tcPr>
          <w:p w14:paraId="2FAD4FDD" w14:textId="77777777" w:rsidR="007919B5" w:rsidRPr="00DE6C9E" w:rsidRDefault="007919B5" w:rsidP="007919B5">
            <w:pPr>
              <w:widowControl w:val="0"/>
              <w:autoSpaceDE w:val="0"/>
              <w:autoSpaceDN w:val="0"/>
              <w:adjustRightInd w:val="0"/>
              <w:jc w:val="center"/>
              <w:rPr>
                <w:sz w:val="20"/>
                <w:szCs w:val="20"/>
              </w:rPr>
            </w:pPr>
            <w:r w:rsidRPr="00DE6C9E">
              <w:rPr>
                <w:sz w:val="20"/>
                <w:szCs w:val="20"/>
              </w:rPr>
              <w:t>0.124</w:t>
            </w:r>
          </w:p>
        </w:tc>
      </w:tr>
    </w:tbl>
    <w:p w14:paraId="0A917F63" w14:textId="6F5DEB2A" w:rsidR="00DE6C9E" w:rsidRPr="00DE6C9E" w:rsidRDefault="00A20361" w:rsidP="007919B5">
      <w:pPr>
        <w:widowControl w:val="0"/>
        <w:autoSpaceDE w:val="0"/>
        <w:autoSpaceDN w:val="0"/>
        <w:adjustRightInd w:val="0"/>
        <w:jc w:val="both"/>
        <w:rPr>
          <w:rFonts w:ascii="Times" w:hAnsi="Times" w:cs="Times"/>
          <w:color w:val="000000"/>
          <w:sz w:val="21"/>
          <w:szCs w:val="21"/>
        </w:rPr>
      </w:pPr>
      <w:r w:rsidRPr="00DE6C9E">
        <w:rPr>
          <w:rFonts w:ascii="Times" w:hAnsi="Times" w:cs="Times"/>
          <w:color w:val="000000"/>
          <w:sz w:val="21"/>
          <w:szCs w:val="21"/>
        </w:rPr>
        <w:t xml:space="preserve">Notes: All regressions include the full vectors of control variables from column (5) of Table 3. </w:t>
      </w:r>
      <w:r w:rsidR="007919B5" w:rsidRPr="00DE6C9E">
        <w:rPr>
          <w:rFonts w:ascii="Times" w:hAnsi="Times" w:cs="Times"/>
          <w:color w:val="000000"/>
          <w:sz w:val="21"/>
          <w:szCs w:val="21"/>
        </w:rPr>
        <w:t>“Instruction” includes expenditures on instruction, transfer to retirement system-instruction.</w:t>
      </w:r>
      <w:r w:rsidR="007919B5">
        <w:rPr>
          <w:rFonts w:ascii="Times" w:hAnsi="Times" w:cs="Times"/>
          <w:color w:val="000000"/>
          <w:sz w:val="21"/>
          <w:szCs w:val="21"/>
        </w:rPr>
        <w:t xml:space="preserve"> </w:t>
      </w:r>
      <w:r w:rsidR="007919B5" w:rsidRPr="00DE6C9E">
        <w:rPr>
          <w:rFonts w:ascii="Times" w:hAnsi="Times" w:cs="Times"/>
          <w:color w:val="000000"/>
          <w:sz w:val="21"/>
          <w:szCs w:val="21"/>
        </w:rPr>
        <w:t>“Support service” includes support service for pupils, instructional staff, school/general administration, business support, operation and maintenance of plant, student transportation, central support service, transfer to retirement system-support and other non-specified support service.</w:t>
      </w:r>
      <w:r w:rsidR="007919B5">
        <w:rPr>
          <w:rFonts w:ascii="Times" w:hAnsi="Times" w:cs="Times"/>
          <w:color w:val="000000"/>
          <w:sz w:val="21"/>
          <w:szCs w:val="21"/>
        </w:rPr>
        <w:t xml:space="preserve"> </w:t>
      </w:r>
      <w:r w:rsidR="007919B5" w:rsidRPr="00DE6C9E">
        <w:rPr>
          <w:rFonts w:ascii="Times" w:hAnsi="Times" w:cs="Times"/>
          <w:color w:val="000000"/>
          <w:sz w:val="21"/>
          <w:szCs w:val="21"/>
        </w:rPr>
        <w:t>“Other” includes food service, enterprise operation and other elementary and secondary expenditures.</w:t>
      </w:r>
      <w:r w:rsidR="007919B5">
        <w:rPr>
          <w:rFonts w:ascii="Times" w:hAnsi="Times" w:cs="Times"/>
          <w:color w:val="000000"/>
          <w:sz w:val="21"/>
          <w:szCs w:val="21"/>
        </w:rPr>
        <w:t xml:space="preserve"> </w:t>
      </w:r>
      <w:r w:rsidRPr="00DE6C9E">
        <w:rPr>
          <w:rFonts w:ascii="Times" w:hAnsi="Times" w:cs="Times"/>
          <w:color w:val="000000"/>
          <w:sz w:val="21"/>
          <w:szCs w:val="21"/>
        </w:rPr>
        <w:t xml:space="preserve">Robust standard errors in parentheses are clustered on CZ. Models are weighted by start of period CZ share of national population. </w:t>
      </w:r>
      <w:r w:rsidR="00DE6C9E" w:rsidRPr="00DE6C9E">
        <w:rPr>
          <w:rFonts w:ascii="Times" w:hAnsi="Times" w:cs="Times"/>
          <w:color w:val="000000"/>
          <w:sz w:val="21"/>
          <w:szCs w:val="21"/>
        </w:rPr>
        <w:t>* p&lt;0.05, ** p&lt;0.01, *** p&lt;0.001</w:t>
      </w:r>
    </w:p>
    <w:p w14:paraId="4DA60B1D" w14:textId="0AD0AC38" w:rsidR="00A20361" w:rsidRPr="00DE6C9E" w:rsidRDefault="00A20361" w:rsidP="00AB5C7C">
      <w:pPr>
        <w:widowControl w:val="0"/>
        <w:autoSpaceDE w:val="0"/>
        <w:autoSpaceDN w:val="0"/>
        <w:adjustRightInd w:val="0"/>
        <w:spacing w:after="240"/>
        <w:jc w:val="both"/>
        <w:rPr>
          <w:rFonts w:ascii="Times" w:hAnsi="Times" w:cs="Times"/>
          <w:color w:val="000000"/>
          <w:sz w:val="21"/>
          <w:szCs w:val="21"/>
        </w:rPr>
      </w:pPr>
    </w:p>
    <w:p w14:paraId="6780D1D9" w14:textId="77777777" w:rsidR="00A20361" w:rsidRPr="005B294B" w:rsidRDefault="00A20361" w:rsidP="00AB5C7C">
      <w:pPr>
        <w:jc w:val="both"/>
        <w:rPr>
          <w:rFonts w:ascii="Times" w:hAnsi="Times" w:cs="Times"/>
          <w:color w:val="000000"/>
        </w:rPr>
      </w:pPr>
    </w:p>
    <w:p w14:paraId="53FF4F6B" w14:textId="77777777" w:rsidR="00A20361" w:rsidRPr="005B294B" w:rsidRDefault="00A20361" w:rsidP="00A20361">
      <w:pPr>
        <w:jc w:val="both"/>
        <w:rPr>
          <w:rFonts w:ascii="Times" w:hAnsi="Times" w:cs="Times"/>
          <w:color w:val="000000"/>
        </w:rPr>
      </w:pPr>
    </w:p>
    <w:p w14:paraId="049690B2" w14:textId="77777777" w:rsidR="00A20361" w:rsidRPr="005B294B" w:rsidRDefault="00A20361" w:rsidP="00A20361">
      <w:pPr>
        <w:jc w:val="center"/>
        <w:rPr>
          <w:rFonts w:ascii="Times" w:hAnsi="Times" w:cs="Times"/>
          <w:color w:val="000000"/>
        </w:rPr>
      </w:pPr>
    </w:p>
    <w:p w14:paraId="1F39A175" w14:textId="77777777" w:rsidR="00A20361" w:rsidRPr="005B294B" w:rsidRDefault="00A20361" w:rsidP="00A20361">
      <w:pPr>
        <w:rPr>
          <w:rFonts w:ascii="Times" w:hAnsi="Times" w:cs="Times"/>
          <w:color w:val="000000"/>
        </w:rPr>
      </w:pPr>
      <w:r w:rsidRPr="005B294B">
        <w:rPr>
          <w:rFonts w:ascii="Times" w:hAnsi="Times" w:cs="Times"/>
          <w:color w:val="000000"/>
        </w:rPr>
        <w:br w:type="page"/>
      </w:r>
    </w:p>
    <w:p w14:paraId="00F3C01A" w14:textId="77777777" w:rsidR="00A20361" w:rsidRPr="005B294B" w:rsidRDefault="00A20361" w:rsidP="00A20361">
      <w:pPr>
        <w:jc w:val="center"/>
        <w:rPr>
          <w:rFonts w:ascii="Times" w:hAnsi="Times" w:cs="Times"/>
          <w:color w:val="000000"/>
        </w:rPr>
      </w:pPr>
    </w:p>
    <w:p w14:paraId="221D5A92" w14:textId="77777777" w:rsidR="00A20361" w:rsidRPr="005B294B" w:rsidRDefault="00A20361" w:rsidP="00A20361">
      <w:pPr>
        <w:jc w:val="center"/>
        <w:rPr>
          <w:rFonts w:ascii="Times" w:hAnsi="Times" w:cs="Times"/>
          <w:color w:val="000000"/>
        </w:rPr>
      </w:pPr>
    </w:p>
    <w:p w14:paraId="5B286490" w14:textId="0F59FD9F" w:rsidR="00A20361" w:rsidRPr="00841E1D" w:rsidRDefault="00A20361" w:rsidP="00A20361">
      <w:pPr>
        <w:rPr>
          <w:rFonts w:ascii="Times" w:hAnsi="Times" w:cs="Times"/>
          <w:b/>
          <w:bCs/>
          <w:color w:val="000000"/>
        </w:rPr>
      </w:pPr>
      <w:r w:rsidRPr="00841E1D">
        <w:rPr>
          <w:rFonts w:ascii="Times" w:hAnsi="Times" w:cs="Times"/>
          <w:b/>
          <w:bCs/>
          <w:color w:val="000000"/>
        </w:rPr>
        <w:t>Table</w:t>
      </w:r>
      <w:r w:rsidRPr="00841E1D">
        <w:rPr>
          <w:rFonts w:ascii="Times" w:hAnsi="Times" w:cs="Times" w:hint="eastAsia"/>
          <w:b/>
          <w:bCs/>
          <w:color w:val="000000"/>
        </w:rPr>
        <w:t xml:space="preserve"> </w:t>
      </w:r>
      <w:r w:rsidRPr="00841E1D">
        <w:rPr>
          <w:rFonts w:ascii="Times" w:hAnsi="Times" w:cs="Times"/>
          <w:b/>
          <w:bCs/>
          <w:color w:val="000000"/>
        </w:rPr>
        <w:t xml:space="preserve">7 Import from China and per-pupil revenue from different sources within </w:t>
      </w:r>
      <w:r w:rsidR="00841E1D">
        <w:rPr>
          <w:rFonts w:ascii="Times" w:hAnsi="Times" w:cs="Times"/>
          <w:b/>
          <w:bCs/>
          <w:color w:val="000000"/>
        </w:rPr>
        <w:t xml:space="preserve">the </w:t>
      </w:r>
      <w:r w:rsidR="00841E1D">
        <w:rPr>
          <w:rFonts w:ascii="Times" w:hAnsi="Times" w:cs="Times" w:hint="eastAsia"/>
          <w:b/>
          <w:bCs/>
          <w:color w:val="000000"/>
        </w:rPr>
        <w:t>Same</w:t>
      </w:r>
      <w:r w:rsidR="00841E1D">
        <w:rPr>
          <w:rFonts w:ascii="Times" w:hAnsi="Times" w:cs="Times"/>
          <w:b/>
          <w:bCs/>
          <w:color w:val="000000"/>
        </w:rPr>
        <w:t xml:space="preserve"> </w:t>
      </w:r>
      <w:r w:rsidR="00841E1D">
        <w:rPr>
          <w:rFonts w:ascii="Times" w:hAnsi="Times" w:cs="Times" w:hint="eastAsia"/>
          <w:b/>
          <w:bCs/>
          <w:color w:val="000000"/>
        </w:rPr>
        <w:t>State</w:t>
      </w:r>
      <w:r w:rsidRPr="00841E1D">
        <w:rPr>
          <w:rFonts w:ascii="Times" w:hAnsi="Times" w:cs="Times"/>
          <w:b/>
          <w:bCs/>
          <w:color w:val="000000"/>
        </w:rPr>
        <w:t>s,</w:t>
      </w:r>
      <w:r w:rsidRPr="00841E1D">
        <w:rPr>
          <w:rFonts w:ascii="Times" w:hAnsi="Times" w:cs="Times" w:hint="eastAsia"/>
          <w:b/>
          <w:bCs/>
          <w:color w:val="000000"/>
        </w:rPr>
        <w:t xml:space="preserve"> </w:t>
      </w:r>
      <w:r w:rsidRPr="00841E1D">
        <w:rPr>
          <w:rFonts w:ascii="Times" w:hAnsi="Times" w:cs="Times"/>
          <w:b/>
          <w:bCs/>
          <w:color w:val="000000"/>
        </w:rPr>
        <w:t>1990-2007, 2SLS</w:t>
      </w:r>
    </w:p>
    <w:p w14:paraId="130478DC" w14:textId="77777777" w:rsidR="00A20361" w:rsidRPr="005B294B" w:rsidRDefault="00A20361" w:rsidP="00A20361">
      <w:pPr>
        <w:jc w:val="center"/>
        <w:rPr>
          <w:rFonts w:ascii="Times" w:hAnsi="Times" w:cs="Times"/>
          <w:color w:val="000000"/>
        </w:rPr>
      </w:pPr>
      <w:r w:rsidRPr="005B294B">
        <w:rPr>
          <w:rFonts w:ascii="Times" w:hAnsi="Times" w:cs="Times"/>
          <w:color w:val="000000"/>
        </w:rPr>
        <w:t xml:space="preserve">Dependent Variable: Ten-year equivalent changes in per-pupil </w:t>
      </w:r>
      <w:r>
        <w:rPr>
          <w:rFonts w:ascii="Times" w:hAnsi="Times" w:cs="Times"/>
          <w:color w:val="000000"/>
        </w:rPr>
        <w:t xml:space="preserve">expenditure and </w:t>
      </w:r>
      <w:r w:rsidRPr="005B294B">
        <w:rPr>
          <w:rFonts w:ascii="Times" w:hAnsi="Times" w:cs="Times"/>
          <w:color w:val="000000"/>
        </w:rPr>
        <w:t>revenue from different sources / $1000</w:t>
      </w:r>
    </w:p>
    <w:p w14:paraId="2D9D4BA4" w14:textId="77777777" w:rsidR="00A20361" w:rsidRPr="005B294B" w:rsidRDefault="00A20361" w:rsidP="00A20361">
      <w:pPr>
        <w:jc w:val="center"/>
        <w:rPr>
          <w:rFonts w:ascii="Times" w:hAnsi="Times" w:cs="Times"/>
          <w:color w:val="000000"/>
        </w:rPr>
      </w:pPr>
    </w:p>
    <w:tbl>
      <w:tblPr>
        <w:tblW w:w="9433" w:type="dxa"/>
        <w:jc w:val="center"/>
        <w:tblLayout w:type="fixed"/>
        <w:tblCellMar>
          <w:left w:w="75" w:type="dxa"/>
          <w:right w:w="75" w:type="dxa"/>
        </w:tblCellMar>
        <w:tblLook w:val="0000" w:firstRow="0" w:lastRow="0" w:firstColumn="0" w:lastColumn="0" w:noHBand="0" w:noVBand="0"/>
      </w:tblPr>
      <w:tblGrid>
        <w:gridCol w:w="2338"/>
        <w:gridCol w:w="1419"/>
        <w:gridCol w:w="1419"/>
        <w:gridCol w:w="1419"/>
        <w:gridCol w:w="1419"/>
        <w:gridCol w:w="1419"/>
      </w:tblGrid>
      <w:tr w:rsidR="00A20361" w:rsidRPr="00DE6C9E" w14:paraId="572033FE" w14:textId="77777777" w:rsidTr="00DE6C9E">
        <w:trPr>
          <w:trHeight w:val="919"/>
          <w:jc w:val="center"/>
        </w:trPr>
        <w:tc>
          <w:tcPr>
            <w:tcW w:w="2338" w:type="dxa"/>
            <w:tcBorders>
              <w:top w:val="single" w:sz="6" w:space="0" w:color="auto"/>
              <w:left w:val="nil"/>
              <w:bottom w:val="single" w:sz="4" w:space="0" w:color="auto"/>
              <w:right w:val="nil"/>
            </w:tcBorders>
          </w:tcPr>
          <w:p w14:paraId="066BA381" w14:textId="77777777" w:rsidR="00A20361" w:rsidRPr="00DE6C9E" w:rsidRDefault="00A20361" w:rsidP="0048210B">
            <w:pPr>
              <w:widowControl w:val="0"/>
              <w:autoSpaceDE w:val="0"/>
              <w:autoSpaceDN w:val="0"/>
              <w:adjustRightInd w:val="0"/>
              <w:jc w:val="center"/>
              <w:rPr>
                <w:sz w:val="20"/>
                <w:szCs w:val="20"/>
              </w:rPr>
            </w:pPr>
          </w:p>
        </w:tc>
        <w:tc>
          <w:tcPr>
            <w:tcW w:w="1419" w:type="dxa"/>
            <w:tcBorders>
              <w:top w:val="single" w:sz="6" w:space="0" w:color="auto"/>
              <w:left w:val="nil"/>
              <w:bottom w:val="single" w:sz="4" w:space="0" w:color="auto"/>
              <w:right w:val="nil"/>
            </w:tcBorders>
          </w:tcPr>
          <w:p w14:paraId="6A6C45EE"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w:t>
            </w:r>
          </w:p>
          <w:p w14:paraId="56C3B2E5"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Total Expenditure</w:t>
            </w:r>
          </w:p>
        </w:tc>
        <w:tc>
          <w:tcPr>
            <w:tcW w:w="1419" w:type="dxa"/>
            <w:tcBorders>
              <w:top w:val="single" w:sz="6" w:space="0" w:color="auto"/>
              <w:left w:val="nil"/>
              <w:bottom w:val="single" w:sz="4" w:space="0" w:color="auto"/>
              <w:right w:val="nil"/>
            </w:tcBorders>
          </w:tcPr>
          <w:p w14:paraId="2CB2E990"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 xml:space="preserve">(2)                  </w:t>
            </w:r>
            <m:oMath>
              <m:r>
                <m:rPr>
                  <m:sty m:val="p"/>
                </m:rPr>
                <w:rPr>
                  <w:rFonts w:ascii="Cambria Math" w:hAnsi="Cambria Math"/>
                  <w:sz w:val="20"/>
                  <w:szCs w:val="20"/>
                </w:rPr>
                <m:t>∆</m:t>
              </m:r>
            </m:oMath>
            <w:r w:rsidRPr="00DE6C9E">
              <w:rPr>
                <w:sz w:val="20"/>
                <w:szCs w:val="20"/>
              </w:rPr>
              <w:t xml:space="preserve">Total Revenue     </w:t>
            </w:r>
          </w:p>
        </w:tc>
        <w:tc>
          <w:tcPr>
            <w:tcW w:w="1419" w:type="dxa"/>
            <w:tcBorders>
              <w:top w:val="single" w:sz="6" w:space="0" w:color="auto"/>
              <w:left w:val="nil"/>
              <w:bottom w:val="single" w:sz="4" w:space="0" w:color="auto"/>
              <w:right w:val="nil"/>
            </w:tcBorders>
          </w:tcPr>
          <w:p w14:paraId="66B70224"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m:oMath>
              <m:r>
                <m:rPr>
                  <m:sty m:val="p"/>
                </m:rPr>
                <w:rPr>
                  <w:rFonts w:ascii="Cambria Math" w:hAnsi="Cambria Math"/>
                  <w:sz w:val="20"/>
                  <w:szCs w:val="20"/>
                </w:rPr>
                <m:t xml:space="preserve"> </m:t>
              </m:r>
            </m:oMath>
          </w:p>
          <w:p w14:paraId="15DA0E33"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 xml:space="preserve">Local Revenue     </w:t>
            </w:r>
          </w:p>
        </w:tc>
        <w:tc>
          <w:tcPr>
            <w:tcW w:w="1419" w:type="dxa"/>
            <w:tcBorders>
              <w:top w:val="single" w:sz="6" w:space="0" w:color="auto"/>
              <w:left w:val="nil"/>
              <w:bottom w:val="single" w:sz="4" w:space="0" w:color="auto"/>
              <w:right w:val="nil"/>
            </w:tcBorders>
          </w:tcPr>
          <w:p w14:paraId="695F7C50"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(4)</w:t>
            </w:r>
            <m:oMath>
              <m:r>
                <m:rPr>
                  <m:sty m:val="p"/>
                </m:rPr>
                <w:rPr>
                  <w:rFonts w:ascii="Cambria Math" w:hAnsi="Cambria Math"/>
                  <w:sz w:val="20"/>
                  <w:szCs w:val="20"/>
                </w:rPr>
                <m:t xml:space="preserve"> </m:t>
              </m:r>
            </m:oMath>
          </w:p>
          <w:p w14:paraId="0F30F556"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 xml:space="preserve">Federal Revenue     </w:t>
            </w:r>
          </w:p>
        </w:tc>
        <w:tc>
          <w:tcPr>
            <w:tcW w:w="1419" w:type="dxa"/>
            <w:tcBorders>
              <w:top w:val="single" w:sz="6" w:space="0" w:color="auto"/>
              <w:left w:val="nil"/>
              <w:bottom w:val="single" w:sz="4" w:space="0" w:color="auto"/>
              <w:right w:val="nil"/>
            </w:tcBorders>
          </w:tcPr>
          <w:p w14:paraId="6440A9C6"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(5)</w:t>
            </w:r>
          </w:p>
          <w:p w14:paraId="1FBE005A"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 xml:space="preserve"> ∆</m:t>
              </m:r>
            </m:oMath>
            <w:r w:rsidRPr="00DE6C9E">
              <w:rPr>
                <w:sz w:val="20"/>
                <w:szCs w:val="20"/>
              </w:rPr>
              <w:t xml:space="preserve">State Revenue     </w:t>
            </w:r>
          </w:p>
        </w:tc>
      </w:tr>
      <w:tr w:rsidR="00A20361" w:rsidRPr="00DE6C9E" w14:paraId="04912819" w14:textId="77777777" w:rsidTr="00DE6C9E">
        <w:trPr>
          <w:trHeight w:val="362"/>
          <w:jc w:val="center"/>
        </w:trPr>
        <w:tc>
          <w:tcPr>
            <w:tcW w:w="2338" w:type="dxa"/>
            <w:tcBorders>
              <w:top w:val="single" w:sz="4" w:space="0" w:color="auto"/>
              <w:left w:val="nil"/>
              <w:bottom w:val="nil"/>
              <w:right w:val="nil"/>
            </w:tcBorders>
          </w:tcPr>
          <w:p w14:paraId="09777310" w14:textId="77777777" w:rsidR="00A20361" w:rsidRPr="00DE6C9E" w:rsidRDefault="00A20361" w:rsidP="0048210B">
            <w:pPr>
              <w:widowControl w:val="0"/>
              <w:autoSpaceDE w:val="0"/>
              <w:autoSpaceDN w:val="0"/>
              <w:adjustRightInd w:val="0"/>
              <w:rPr>
                <w:sz w:val="20"/>
                <w:szCs w:val="20"/>
              </w:rPr>
            </w:pPr>
          </w:p>
        </w:tc>
        <w:tc>
          <w:tcPr>
            <w:tcW w:w="1419" w:type="dxa"/>
            <w:tcBorders>
              <w:top w:val="single" w:sz="4" w:space="0" w:color="auto"/>
              <w:left w:val="nil"/>
              <w:bottom w:val="nil"/>
              <w:right w:val="nil"/>
            </w:tcBorders>
          </w:tcPr>
          <w:p w14:paraId="4685F3D8" w14:textId="77777777" w:rsidR="00A20361" w:rsidRPr="00DE6C9E" w:rsidRDefault="00A20361" w:rsidP="0048210B">
            <w:pPr>
              <w:widowControl w:val="0"/>
              <w:autoSpaceDE w:val="0"/>
              <w:autoSpaceDN w:val="0"/>
              <w:adjustRightInd w:val="0"/>
              <w:jc w:val="center"/>
              <w:rPr>
                <w:sz w:val="20"/>
                <w:szCs w:val="20"/>
              </w:rPr>
            </w:pPr>
          </w:p>
        </w:tc>
        <w:tc>
          <w:tcPr>
            <w:tcW w:w="1419" w:type="dxa"/>
            <w:tcBorders>
              <w:top w:val="single" w:sz="4" w:space="0" w:color="auto"/>
              <w:left w:val="nil"/>
              <w:bottom w:val="nil"/>
              <w:right w:val="nil"/>
            </w:tcBorders>
          </w:tcPr>
          <w:p w14:paraId="1BE886CE" w14:textId="77777777" w:rsidR="00A20361" w:rsidRPr="00DE6C9E" w:rsidRDefault="00A20361" w:rsidP="0048210B">
            <w:pPr>
              <w:widowControl w:val="0"/>
              <w:autoSpaceDE w:val="0"/>
              <w:autoSpaceDN w:val="0"/>
              <w:adjustRightInd w:val="0"/>
              <w:jc w:val="center"/>
              <w:rPr>
                <w:sz w:val="20"/>
                <w:szCs w:val="20"/>
              </w:rPr>
            </w:pPr>
          </w:p>
        </w:tc>
        <w:tc>
          <w:tcPr>
            <w:tcW w:w="1419" w:type="dxa"/>
            <w:tcBorders>
              <w:top w:val="single" w:sz="4" w:space="0" w:color="auto"/>
              <w:left w:val="nil"/>
              <w:bottom w:val="nil"/>
              <w:right w:val="nil"/>
            </w:tcBorders>
          </w:tcPr>
          <w:p w14:paraId="42883E70" w14:textId="77777777" w:rsidR="00A20361" w:rsidRPr="00DE6C9E" w:rsidRDefault="00A20361" w:rsidP="0048210B">
            <w:pPr>
              <w:widowControl w:val="0"/>
              <w:autoSpaceDE w:val="0"/>
              <w:autoSpaceDN w:val="0"/>
              <w:adjustRightInd w:val="0"/>
              <w:jc w:val="center"/>
              <w:rPr>
                <w:sz w:val="20"/>
                <w:szCs w:val="20"/>
              </w:rPr>
            </w:pPr>
          </w:p>
        </w:tc>
        <w:tc>
          <w:tcPr>
            <w:tcW w:w="1419" w:type="dxa"/>
            <w:tcBorders>
              <w:top w:val="single" w:sz="4" w:space="0" w:color="auto"/>
              <w:left w:val="nil"/>
              <w:bottom w:val="nil"/>
              <w:right w:val="nil"/>
            </w:tcBorders>
          </w:tcPr>
          <w:p w14:paraId="7FD031F7" w14:textId="77777777" w:rsidR="00A20361" w:rsidRPr="00DE6C9E" w:rsidRDefault="00A20361" w:rsidP="0048210B">
            <w:pPr>
              <w:widowControl w:val="0"/>
              <w:autoSpaceDE w:val="0"/>
              <w:autoSpaceDN w:val="0"/>
              <w:adjustRightInd w:val="0"/>
              <w:jc w:val="center"/>
              <w:rPr>
                <w:sz w:val="20"/>
                <w:szCs w:val="20"/>
              </w:rPr>
            </w:pPr>
          </w:p>
        </w:tc>
        <w:tc>
          <w:tcPr>
            <w:tcW w:w="1419" w:type="dxa"/>
            <w:tcBorders>
              <w:top w:val="single" w:sz="4" w:space="0" w:color="auto"/>
              <w:left w:val="nil"/>
              <w:bottom w:val="nil"/>
              <w:right w:val="nil"/>
            </w:tcBorders>
          </w:tcPr>
          <w:p w14:paraId="7119C46B" w14:textId="77777777" w:rsidR="00A20361" w:rsidRPr="00DE6C9E" w:rsidRDefault="00A20361" w:rsidP="0048210B">
            <w:pPr>
              <w:widowControl w:val="0"/>
              <w:autoSpaceDE w:val="0"/>
              <w:autoSpaceDN w:val="0"/>
              <w:adjustRightInd w:val="0"/>
              <w:jc w:val="center"/>
              <w:rPr>
                <w:sz w:val="20"/>
                <w:szCs w:val="20"/>
              </w:rPr>
            </w:pPr>
          </w:p>
        </w:tc>
      </w:tr>
      <w:tr w:rsidR="00A20361" w:rsidRPr="00DE6C9E" w14:paraId="73B57BD2" w14:textId="77777777" w:rsidTr="00DE6C9E">
        <w:trPr>
          <w:trHeight w:val="316"/>
          <w:jc w:val="center"/>
        </w:trPr>
        <w:tc>
          <w:tcPr>
            <w:tcW w:w="2338" w:type="dxa"/>
            <w:tcBorders>
              <w:top w:val="nil"/>
              <w:left w:val="nil"/>
              <w:bottom w:val="nil"/>
              <w:right w:val="nil"/>
            </w:tcBorders>
          </w:tcPr>
          <w:p w14:paraId="4FBBF7DC" w14:textId="77777777" w:rsidR="00A20361" w:rsidRPr="00DE6C9E" w:rsidRDefault="00157748" w:rsidP="0048210B">
            <w:pPr>
              <w:widowControl w:val="0"/>
              <w:autoSpaceDE w:val="0"/>
              <w:autoSpaceDN w:val="0"/>
              <w:adjustRightInd w:val="0"/>
              <w:rPr>
                <w:sz w:val="20"/>
                <w:szCs w:val="20"/>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419" w:type="dxa"/>
            <w:tcBorders>
              <w:top w:val="nil"/>
              <w:left w:val="nil"/>
              <w:bottom w:val="nil"/>
              <w:right w:val="nil"/>
            </w:tcBorders>
            <w:vAlign w:val="bottom"/>
          </w:tcPr>
          <w:p w14:paraId="79209646"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-0.098***</w:t>
            </w:r>
          </w:p>
        </w:tc>
        <w:tc>
          <w:tcPr>
            <w:tcW w:w="1419" w:type="dxa"/>
            <w:tcBorders>
              <w:top w:val="nil"/>
              <w:left w:val="nil"/>
              <w:bottom w:val="nil"/>
              <w:right w:val="nil"/>
            </w:tcBorders>
            <w:vAlign w:val="bottom"/>
          </w:tcPr>
          <w:p w14:paraId="7231F616"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-0.100*</w:t>
            </w:r>
          </w:p>
        </w:tc>
        <w:tc>
          <w:tcPr>
            <w:tcW w:w="1419" w:type="dxa"/>
            <w:tcBorders>
              <w:top w:val="nil"/>
              <w:left w:val="nil"/>
              <w:bottom w:val="nil"/>
              <w:right w:val="nil"/>
            </w:tcBorders>
            <w:vAlign w:val="bottom"/>
          </w:tcPr>
          <w:p w14:paraId="01BA912C"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-0.041*</w:t>
            </w:r>
          </w:p>
        </w:tc>
        <w:tc>
          <w:tcPr>
            <w:tcW w:w="1419" w:type="dxa"/>
            <w:tcBorders>
              <w:top w:val="nil"/>
              <w:left w:val="nil"/>
              <w:bottom w:val="nil"/>
              <w:right w:val="nil"/>
            </w:tcBorders>
            <w:vAlign w:val="bottom"/>
          </w:tcPr>
          <w:p w14:paraId="6D5FFD1A"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-0.007</w:t>
            </w:r>
          </w:p>
        </w:tc>
        <w:tc>
          <w:tcPr>
            <w:tcW w:w="1419" w:type="dxa"/>
            <w:tcBorders>
              <w:top w:val="nil"/>
              <w:left w:val="nil"/>
              <w:bottom w:val="nil"/>
              <w:right w:val="nil"/>
            </w:tcBorders>
            <w:vAlign w:val="bottom"/>
          </w:tcPr>
          <w:p w14:paraId="167DD087"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-0.051</w:t>
            </w:r>
          </w:p>
        </w:tc>
      </w:tr>
      <w:tr w:rsidR="00A20361" w:rsidRPr="00DE6C9E" w14:paraId="5A3D37C9" w14:textId="77777777" w:rsidTr="00DE6C9E">
        <w:trPr>
          <w:trHeight w:val="316"/>
          <w:jc w:val="center"/>
        </w:trPr>
        <w:tc>
          <w:tcPr>
            <w:tcW w:w="2338" w:type="dxa"/>
            <w:tcBorders>
              <w:top w:val="nil"/>
              <w:left w:val="nil"/>
              <w:bottom w:val="nil"/>
              <w:right w:val="nil"/>
            </w:tcBorders>
          </w:tcPr>
          <w:p w14:paraId="145C0AA6" w14:textId="77777777" w:rsidR="00A20361" w:rsidRPr="00DE6C9E" w:rsidRDefault="00A20361" w:rsidP="0048210B">
            <w:pPr>
              <w:widowControl w:val="0"/>
              <w:autoSpaceDE w:val="0"/>
              <w:autoSpaceDN w:val="0"/>
              <w:adjustRightInd w:val="0"/>
              <w:rPr>
                <w:sz w:val="20"/>
                <w:szCs w:val="20"/>
              </w:rPr>
            </w:pPr>
          </w:p>
        </w:tc>
        <w:tc>
          <w:tcPr>
            <w:tcW w:w="1419" w:type="dxa"/>
            <w:tcBorders>
              <w:top w:val="nil"/>
              <w:left w:val="nil"/>
              <w:bottom w:val="nil"/>
              <w:right w:val="nil"/>
            </w:tcBorders>
            <w:vAlign w:val="bottom"/>
          </w:tcPr>
          <w:p w14:paraId="2A113063"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(0.025)</w:t>
            </w:r>
          </w:p>
        </w:tc>
        <w:tc>
          <w:tcPr>
            <w:tcW w:w="1419" w:type="dxa"/>
            <w:tcBorders>
              <w:top w:val="nil"/>
              <w:left w:val="nil"/>
              <w:bottom w:val="nil"/>
              <w:right w:val="nil"/>
            </w:tcBorders>
            <w:vAlign w:val="bottom"/>
          </w:tcPr>
          <w:p w14:paraId="707A14A3"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(0.039)</w:t>
            </w:r>
          </w:p>
        </w:tc>
        <w:tc>
          <w:tcPr>
            <w:tcW w:w="1419" w:type="dxa"/>
            <w:tcBorders>
              <w:top w:val="nil"/>
              <w:left w:val="nil"/>
              <w:bottom w:val="nil"/>
              <w:right w:val="nil"/>
            </w:tcBorders>
            <w:vAlign w:val="bottom"/>
          </w:tcPr>
          <w:p w14:paraId="1676A6C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(0.016)</w:t>
            </w:r>
          </w:p>
        </w:tc>
        <w:tc>
          <w:tcPr>
            <w:tcW w:w="1419" w:type="dxa"/>
            <w:tcBorders>
              <w:top w:val="nil"/>
              <w:left w:val="nil"/>
              <w:bottom w:val="nil"/>
              <w:right w:val="nil"/>
            </w:tcBorders>
            <w:vAlign w:val="bottom"/>
          </w:tcPr>
          <w:p w14:paraId="60E8F9FB"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(0.007)</w:t>
            </w:r>
          </w:p>
        </w:tc>
        <w:tc>
          <w:tcPr>
            <w:tcW w:w="1419" w:type="dxa"/>
            <w:tcBorders>
              <w:top w:val="nil"/>
              <w:left w:val="nil"/>
              <w:bottom w:val="nil"/>
              <w:right w:val="nil"/>
            </w:tcBorders>
            <w:vAlign w:val="bottom"/>
          </w:tcPr>
          <w:p w14:paraId="64CAFC4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(0.036)</w:t>
            </w:r>
          </w:p>
        </w:tc>
      </w:tr>
      <w:tr w:rsidR="00A20361" w:rsidRPr="00DE6C9E" w14:paraId="01904CE8" w14:textId="77777777" w:rsidTr="00DE6C9E">
        <w:tblPrEx>
          <w:tblBorders>
            <w:bottom w:val="single" w:sz="6" w:space="0" w:color="auto"/>
          </w:tblBorders>
        </w:tblPrEx>
        <w:trPr>
          <w:trHeight w:val="301"/>
          <w:jc w:val="center"/>
        </w:trPr>
        <w:tc>
          <w:tcPr>
            <w:tcW w:w="2338" w:type="dxa"/>
            <w:tcBorders>
              <w:top w:val="nil"/>
              <w:left w:val="nil"/>
              <w:bottom w:val="single" w:sz="6" w:space="0" w:color="auto"/>
              <w:right w:val="nil"/>
            </w:tcBorders>
          </w:tcPr>
          <w:p w14:paraId="79920DDB" w14:textId="77777777" w:rsidR="00A20361" w:rsidRPr="00DE6C9E" w:rsidRDefault="00A20361" w:rsidP="0048210B">
            <w:pPr>
              <w:widowControl w:val="0"/>
              <w:autoSpaceDE w:val="0"/>
              <w:autoSpaceDN w:val="0"/>
              <w:adjustRightInd w:val="0"/>
              <w:rPr>
                <w:sz w:val="20"/>
                <w:szCs w:val="20"/>
              </w:rPr>
            </w:pPr>
          </w:p>
        </w:tc>
        <w:tc>
          <w:tcPr>
            <w:tcW w:w="1419" w:type="dxa"/>
            <w:tcBorders>
              <w:top w:val="nil"/>
              <w:left w:val="nil"/>
              <w:bottom w:val="single" w:sz="6" w:space="0" w:color="auto"/>
              <w:right w:val="nil"/>
            </w:tcBorders>
          </w:tcPr>
          <w:p w14:paraId="732A83B7" w14:textId="77777777" w:rsidR="00A20361" w:rsidRPr="00DE6C9E" w:rsidRDefault="00A20361" w:rsidP="0048210B">
            <w:pPr>
              <w:widowControl w:val="0"/>
              <w:autoSpaceDE w:val="0"/>
              <w:autoSpaceDN w:val="0"/>
              <w:adjustRightInd w:val="0"/>
              <w:rPr>
                <w:sz w:val="20"/>
                <w:szCs w:val="20"/>
              </w:rPr>
            </w:pPr>
          </w:p>
        </w:tc>
        <w:tc>
          <w:tcPr>
            <w:tcW w:w="1419" w:type="dxa"/>
            <w:tcBorders>
              <w:top w:val="nil"/>
              <w:left w:val="nil"/>
              <w:bottom w:val="single" w:sz="6" w:space="0" w:color="auto"/>
              <w:right w:val="nil"/>
            </w:tcBorders>
          </w:tcPr>
          <w:p w14:paraId="410BF8BE" w14:textId="77777777" w:rsidR="00A20361" w:rsidRPr="00DE6C9E" w:rsidRDefault="00A20361" w:rsidP="0048210B">
            <w:pPr>
              <w:widowControl w:val="0"/>
              <w:autoSpaceDE w:val="0"/>
              <w:autoSpaceDN w:val="0"/>
              <w:adjustRightInd w:val="0"/>
              <w:rPr>
                <w:sz w:val="20"/>
                <w:szCs w:val="20"/>
              </w:rPr>
            </w:pPr>
          </w:p>
        </w:tc>
        <w:tc>
          <w:tcPr>
            <w:tcW w:w="1419" w:type="dxa"/>
            <w:tcBorders>
              <w:top w:val="nil"/>
              <w:left w:val="nil"/>
              <w:bottom w:val="single" w:sz="6" w:space="0" w:color="auto"/>
              <w:right w:val="nil"/>
            </w:tcBorders>
          </w:tcPr>
          <w:p w14:paraId="03527535" w14:textId="77777777" w:rsidR="00A20361" w:rsidRPr="00DE6C9E" w:rsidRDefault="00A20361" w:rsidP="0048210B">
            <w:pPr>
              <w:widowControl w:val="0"/>
              <w:autoSpaceDE w:val="0"/>
              <w:autoSpaceDN w:val="0"/>
              <w:adjustRightInd w:val="0"/>
              <w:rPr>
                <w:sz w:val="20"/>
                <w:szCs w:val="20"/>
              </w:rPr>
            </w:pPr>
          </w:p>
        </w:tc>
        <w:tc>
          <w:tcPr>
            <w:tcW w:w="1419" w:type="dxa"/>
            <w:tcBorders>
              <w:top w:val="nil"/>
              <w:left w:val="nil"/>
              <w:bottom w:val="single" w:sz="6" w:space="0" w:color="auto"/>
              <w:right w:val="nil"/>
            </w:tcBorders>
          </w:tcPr>
          <w:p w14:paraId="0D67201D" w14:textId="77777777" w:rsidR="00A20361" w:rsidRPr="00DE6C9E" w:rsidRDefault="00A20361" w:rsidP="0048210B">
            <w:pPr>
              <w:widowControl w:val="0"/>
              <w:autoSpaceDE w:val="0"/>
              <w:autoSpaceDN w:val="0"/>
              <w:adjustRightInd w:val="0"/>
              <w:rPr>
                <w:sz w:val="20"/>
                <w:szCs w:val="20"/>
              </w:rPr>
            </w:pPr>
          </w:p>
        </w:tc>
        <w:tc>
          <w:tcPr>
            <w:tcW w:w="1419" w:type="dxa"/>
            <w:tcBorders>
              <w:top w:val="nil"/>
              <w:left w:val="nil"/>
              <w:bottom w:val="single" w:sz="6" w:space="0" w:color="auto"/>
              <w:right w:val="nil"/>
            </w:tcBorders>
          </w:tcPr>
          <w:p w14:paraId="4847B24F" w14:textId="77777777" w:rsidR="00A20361" w:rsidRPr="00DE6C9E" w:rsidRDefault="00A20361" w:rsidP="0048210B">
            <w:pPr>
              <w:widowControl w:val="0"/>
              <w:autoSpaceDE w:val="0"/>
              <w:autoSpaceDN w:val="0"/>
              <w:adjustRightInd w:val="0"/>
              <w:rPr>
                <w:sz w:val="20"/>
                <w:szCs w:val="20"/>
              </w:rPr>
            </w:pPr>
          </w:p>
        </w:tc>
      </w:tr>
      <w:tr w:rsidR="00A20361" w:rsidRPr="00DE6C9E" w14:paraId="43AA8BF7" w14:textId="77777777" w:rsidTr="00DE6C9E">
        <w:tblPrEx>
          <w:tblBorders>
            <w:bottom w:val="single" w:sz="6" w:space="0" w:color="auto"/>
          </w:tblBorders>
        </w:tblPrEx>
        <w:trPr>
          <w:trHeight w:val="100"/>
          <w:jc w:val="center"/>
        </w:trPr>
        <w:tc>
          <w:tcPr>
            <w:tcW w:w="2338" w:type="dxa"/>
            <w:tcBorders>
              <w:top w:val="single" w:sz="6" w:space="0" w:color="auto"/>
              <w:left w:val="nil"/>
              <w:bottom w:val="nil"/>
              <w:right w:val="nil"/>
            </w:tcBorders>
          </w:tcPr>
          <w:p w14:paraId="17E30958" w14:textId="77777777" w:rsidR="00A20361" w:rsidRPr="00DE6C9E" w:rsidRDefault="00A20361" w:rsidP="0048210B">
            <w:pPr>
              <w:widowControl w:val="0"/>
              <w:autoSpaceDE w:val="0"/>
              <w:autoSpaceDN w:val="0"/>
              <w:adjustRightInd w:val="0"/>
              <w:rPr>
                <w:sz w:val="20"/>
                <w:szCs w:val="20"/>
              </w:rPr>
            </w:pPr>
            <w:r w:rsidRPr="00DE6C9E">
              <w:rPr>
                <w:sz w:val="20"/>
                <w:szCs w:val="20"/>
              </w:rPr>
              <w:t>Observations</w:t>
            </w:r>
          </w:p>
        </w:tc>
        <w:tc>
          <w:tcPr>
            <w:tcW w:w="1419" w:type="dxa"/>
            <w:tcBorders>
              <w:top w:val="single" w:sz="6" w:space="0" w:color="auto"/>
              <w:left w:val="nil"/>
              <w:bottom w:val="nil"/>
              <w:right w:val="nil"/>
            </w:tcBorders>
            <w:vAlign w:val="bottom"/>
          </w:tcPr>
          <w:p w14:paraId="7BEA3D1F"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c>
          <w:tcPr>
            <w:tcW w:w="1419" w:type="dxa"/>
            <w:tcBorders>
              <w:top w:val="single" w:sz="6" w:space="0" w:color="auto"/>
              <w:left w:val="nil"/>
              <w:bottom w:val="nil"/>
              <w:right w:val="nil"/>
            </w:tcBorders>
          </w:tcPr>
          <w:p w14:paraId="6437D6E4"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c>
          <w:tcPr>
            <w:tcW w:w="1419" w:type="dxa"/>
            <w:tcBorders>
              <w:top w:val="single" w:sz="6" w:space="0" w:color="auto"/>
              <w:left w:val="nil"/>
              <w:bottom w:val="nil"/>
              <w:right w:val="nil"/>
            </w:tcBorders>
          </w:tcPr>
          <w:p w14:paraId="4D3BDE64"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c>
          <w:tcPr>
            <w:tcW w:w="1419" w:type="dxa"/>
            <w:tcBorders>
              <w:top w:val="single" w:sz="6" w:space="0" w:color="auto"/>
              <w:left w:val="nil"/>
              <w:bottom w:val="nil"/>
              <w:right w:val="nil"/>
            </w:tcBorders>
          </w:tcPr>
          <w:p w14:paraId="0CCF7BF2"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c>
          <w:tcPr>
            <w:tcW w:w="1419" w:type="dxa"/>
            <w:tcBorders>
              <w:top w:val="single" w:sz="6" w:space="0" w:color="auto"/>
              <w:left w:val="nil"/>
              <w:bottom w:val="nil"/>
              <w:right w:val="nil"/>
            </w:tcBorders>
          </w:tcPr>
          <w:p w14:paraId="0ED2AFAF"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1444</w:t>
            </w:r>
          </w:p>
        </w:tc>
      </w:tr>
      <w:tr w:rsidR="00A20361" w:rsidRPr="00DE6C9E" w14:paraId="78F09F4D" w14:textId="77777777" w:rsidTr="00DE6C9E">
        <w:tblPrEx>
          <w:tblBorders>
            <w:bottom w:val="single" w:sz="6" w:space="0" w:color="auto"/>
          </w:tblBorders>
        </w:tblPrEx>
        <w:trPr>
          <w:trHeight w:val="100"/>
          <w:jc w:val="center"/>
        </w:trPr>
        <w:tc>
          <w:tcPr>
            <w:tcW w:w="2338" w:type="dxa"/>
            <w:tcBorders>
              <w:top w:val="nil"/>
              <w:left w:val="nil"/>
              <w:bottom w:val="single" w:sz="4" w:space="0" w:color="auto"/>
              <w:right w:val="nil"/>
            </w:tcBorders>
          </w:tcPr>
          <w:p w14:paraId="00C84FD6" w14:textId="77777777" w:rsidR="00A20361" w:rsidRPr="00DE6C9E" w:rsidRDefault="00A20361" w:rsidP="0048210B">
            <w:pPr>
              <w:widowControl w:val="0"/>
              <w:autoSpaceDE w:val="0"/>
              <w:autoSpaceDN w:val="0"/>
              <w:adjustRightInd w:val="0"/>
              <w:rPr>
                <w:sz w:val="20"/>
                <w:szCs w:val="20"/>
              </w:rPr>
            </w:pPr>
            <w:r w:rsidRPr="00DE6C9E">
              <w:rPr>
                <w:sz w:val="20"/>
                <w:szCs w:val="20"/>
              </w:rPr>
              <w:t>R-squared</w:t>
            </w:r>
          </w:p>
        </w:tc>
        <w:tc>
          <w:tcPr>
            <w:tcW w:w="1419" w:type="dxa"/>
            <w:tcBorders>
              <w:top w:val="nil"/>
              <w:left w:val="nil"/>
              <w:bottom w:val="single" w:sz="4" w:space="0" w:color="auto"/>
              <w:right w:val="nil"/>
            </w:tcBorders>
            <w:vAlign w:val="bottom"/>
          </w:tcPr>
          <w:p w14:paraId="1FAB74B3"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0.759</w:t>
            </w:r>
          </w:p>
        </w:tc>
        <w:tc>
          <w:tcPr>
            <w:tcW w:w="1419" w:type="dxa"/>
            <w:tcBorders>
              <w:top w:val="nil"/>
              <w:left w:val="nil"/>
              <w:bottom w:val="single" w:sz="4" w:space="0" w:color="auto"/>
              <w:right w:val="nil"/>
            </w:tcBorders>
          </w:tcPr>
          <w:p w14:paraId="0FA8B419"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0.766</w:t>
            </w:r>
          </w:p>
        </w:tc>
        <w:tc>
          <w:tcPr>
            <w:tcW w:w="1419" w:type="dxa"/>
            <w:tcBorders>
              <w:top w:val="nil"/>
              <w:left w:val="nil"/>
              <w:bottom w:val="single" w:sz="4" w:space="0" w:color="auto"/>
              <w:right w:val="nil"/>
            </w:tcBorders>
          </w:tcPr>
          <w:p w14:paraId="5611E37B"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0.784</w:t>
            </w:r>
          </w:p>
        </w:tc>
        <w:tc>
          <w:tcPr>
            <w:tcW w:w="1419" w:type="dxa"/>
            <w:tcBorders>
              <w:top w:val="nil"/>
              <w:left w:val="nil"/>
              <w:bottom w:val="single" w:sz="4" w:space="0" w:color="auto"/>
              <w:right w:val="nil"/>
            </w:tcBorders>
          </w:tcPr>
          <w:p w14:paraId="0750D751"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0.453</w:t>
            </w:r>
          </w:p>
        </w:tc>
        <w:tc>
          <w:tcPr>
            <w:tcW w:w="1419" w:type="dxa"/>
            <w:tcBorders>
              <w:top w:val="nil"/>
              <w:left w:val="nil"/>
              <w:bottom w:val="single" w:sz="4" w:space="0" w:color="auto"/>
              <w:right w:val="nil"/>
            </w:tcBorders>
          </w:tcPr>
          <w:p w14:paraId="4360F054"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0.879</w:t>
            </w:r>
          </w:p>
        </w:tc>
      </w:tr>
    </w:tbl>
    <w:p w14:paraId="65C98FBA" w14:textId="77777777" w:rsidR="00DE6C9E" w:rsidRPr="00DE6C9E" w:rsidRDefault="00A20361" w:rsidP="00DE6C9E">
      <w:pPr>
        <w:jc w:val="both"/>
        <w:rPr>
          <w:rFonts w:ascii="Times" w:hAnsi="Times" w:cs="Times"/>
          <w:color w:val="000000"/>
          <w:sz w:val="21"/>
          <w:szCs w:val="21"/>
        </w:rPr>
      </w:pPr>
      <w:r w:rsidRPr="00DE6C9E">
        <w:rPr>
          <w:rFonts w:ascii="Times" w:hAnsi="Times" w:cs="Times"/>
          <w:color w:val="000000"/>
          <w:sz w:val="21"/>
          <w:szCs w:val="21"/>
        </w:rPr>
        <w:t>Notes: All regressions include the full vectors of control variables from column (5) of Table 3</w:t>
      </w:r>
      <w:r w:rsidRPr="00DE6C9E">
        <w:rPr>
          <w:rFonts w:ascii="Times" w:hAnsi="Times" w:cs="Times" w:hint="eastAsia"/>
          <w:color w:val="000000"/>
          <w:sz w:val="21"/>
          <w:szCs w:val="21"/>
        </w:rPr>
        <w:t xml:space="preserve"> and state</w:t>
      </w:r>
      <w:r w:rsidRPr="00DE6C9E">
        <w:rPr>
          <w:rFonts w:ascii="Times" w:hAnsi="Times" w:cs="Times"/>
          <w:color w:val="000000"/>
          <w:sz w:val="21"/>
          <w:szCs w:val="21"/>
        </w:rPr>
        <w:t xml:space="preserve">-period </w:t>
      </w:r>
      <w:r w:rsidRPr="00DE6C9E">
        <w:rPr>
          <w:rFonts w:ascii="Times" w:hAnsi="Times" w:cs="Times" w:hint="eastAsia"/>
          <w:color w:val="000000"/>
          <w:sz w:val="21"/>
          <w:szCs w:val="21"/>
        </w:rPr>
        <w:t>fixed effects</w:t>
      </w:r>
      <w:r w:rsidRPr="00DE6C9E">
        <w:rPr>
          <w:rFonts w:ascii="Times" w:hAnsi="Times" w:cs="Times"/>
          <w:color w:val="000000"/>
          <w:sz w:val="21"/>
          <w:szCs w:val="21"/>
        </w:rPr>
        <w:t xml:space="preserve">. Robust standard errors in parentheses are clustered on CZ. Models are weighted by start of period CZ share of national population. </w:t>
      </w:r>
      <w:r w:rsidR="00DE6C9E" w:rsidRPr="00DE6C9E">
        <w:rPr>
          <w:rFonts w:ascii="Times" w:hAnsi="Times" w:cs="Times"/>
          <w:color w:val="000000"/>
          <w:sz w:val="21"/>
          <w:szCs w:val="21"/>
        </w:rPr>
        <w:t>* p&lt;0.05, ** p&lt;0.01, *** p&lt;0.001</w:t>
      </w:r>
    </w:p>
    <w:p w14:paraId="70FC1289" w14:textId="009BBCAC" w:rsidR="00A20361" w:rsidRPr="005B294B" w:rsidRDefault="00A20361" w:rsidP="00A20361">
      <w:pPr>
        <w:widowControl w:val="0"/>
        <w:autoSpaceDE w:val="0"/>
        <w:autoSpaceDN w:val="0"/>
        <w:adjustRightInd w:val="0"/>
        <w:spacing w:after="240"/>
        <w:rPr>
          <w:rFonts w:ascii="Times" w:hAnsi="Times" w:cs="Times"/>
          <w:i/>
          <w:iCs/>
          <w:color w:val="000000"/>
          <w:sz w:val="21"/>
          <w:szCs w:val="21"/>
        </w:rPr>
      </w:pPr>
    </w:p>
    <w:p w14:paraId="11600ED4" w14:textId="77777777" w:rsidR="00A20361" w:rsidRPr="005B294B" w:rsidRDefault="00A20361" w:rsidP="00A20361">
      <w:pPr>
        <w:widowControl w:val="0"/>
        <w:autoSpaceDE w:val="0"/>
        <w:autoSpaceDN w:val="0"/>
        <w:adjustRightInd w:val="0"/>
        <w:spacing w:after="240"/>
        <w:rPr>
          <w:rFonts w:ascii="Times" w:hAnsi="Times" w:cs="Times"/>
          <w:i/>
          <w:iCs/>
          <w:color w:val="000000"/>
          <w:sz w:val="21"/>
          <w:szCs w:val="21"/>
        </w:rPr>
      </w:pPr>
      <w:r w:rsidRPr="005B294B">
        <w:rPr>
          <w:rFonts w:ascii="Times" w:hAnsi="Times" w:cs="Times" w:hint="eastAsia"/>
          <w:i/>
          <w:iCs/>
          <w:color w:val="000000"/>
          <w:sz w:val="21"/>
          <w:szCs w:val="21"/>
        </w:rPr>
        <w:t xml:space="preserve"> </w:t>
      </w:r>
    </w:p>
    <w:p w14:paraId="2D2594A3" w14:textId="77777777" w:rsidR="00A20361" w:rsidRPr="005B294B" w:rsidRDefault="00A20361" w:rsidP="00A20361">
      <w:pPr>
        <w:rPr>
          <w:rFonts w:ascii="Times" w:hAnsi="Times" w:cs="Times"/>
          <w:color w:val="000000"/>
        </w:rPr>
      </w:pPr>
    </w:p>
    <w:p w14:paraId="15C3FED8" w14:textId="77777777" w:rsidR="00A20361" w:rsidRPr="00841E1D" w:rsidRDefault="00A20361" w:rsidP="00841E1D">
      <w:pPr>
        <w:rPr>
          <w:rFonts w:ascii="Times" w:hAnsi="Times" w:cs="Times"/>
          <w:b/>
          <w:bCs/>
          <w:color w:val="000000"/>
        </w:rPr>
      </w:pPr>
      <w:r w:rsidRPr="00841E1D">
        <w:rPr>
          <w:rFonts w:ascii="Times" w:hAnsi="Times" w:cs="Times"/>
          <w:b/>
          <w:bCs/>
          <w:color w:val="000000"/>
        </w:rPr>
        <w:t>Table</w:t>
      </w:r>
      <w:r w:rsidRPr="00841E1D">
        <w:rPr>
          <w:rFonts w:ascii="Times" w:hAnsi="Times" w:cs="Times" w:hint="eastAsia"/>
          <w:b/>
          <w:bCs/>
          <w:color w:val="000000"/>
        </w:rPr>
        <w:t xml:space="preserve"> </w:t>
      </w:r>
      <w:r w:rsidRPr="00841E1D">
        <w:rPr>
          <w:rFonts w:ascii="Times" w:hAnsi="Times" w:cs="Times"/>
          <w:b/>
          <w:bCs/>
          <w:color w:val="000000"/>
        </w:rPr>
        <w:t xml:space="preserve">8 Import from China and per-pupil revenue from different sources, </w:t>
      </w:r>
      <w:r w:rsidRPr="00841E1D">
        <w:rPr>
          <w:rFonts w:ascii="Times" w:hAnsi="Times" w:cs="Times" w:hint="eastAsia"/>
          <w:b/>
          <w:bCs/>
          <w:color w:val="000000"/>
        </w:rPr>
        <w:t>State</w:t>
      </w:r>
      <w:r w:rsidRPr="00841E1D">
        <w:rPr>
          <w:rFonts w:ascii="Times" w:hAnsi="Times" w:cs="Times"/>
          <w:b/>
          <w:bCs/>
          <w:color w:val="000000"/>
        </w:rPr>
        <w:t xml:space="preserve"> Level</w:t>
      </w:r>
      <w:r w:rsidRPr="00841E1D">
        <w:rPr>
          <w:rFonts w:ascii="Times" w:hAnsi="Times" w:cs="Times" w:hint="eastAsia"/>
          <w:b/>
          <w:bCs/>
          <w:color w:val="000000"/>
        </w:rPr>
        <w:t>,</w:t>
      </w:r>
      <w:r w:rsidRPr="00841E1D">
        <w:rPr>
          <w:rFonts w:ascii="Times" w:hAnsi="Times" w:cs="Times"/>
          <w:b/>
          <w:bCs/>
          <w:color w:val="000000"/>
        </w:rPr>
        <w:t xml:space="preserve"> 1990-2007, 2SLS</w:t>
      </w:r>
    </w:p>
    <w:p w14:paraId="1B145ED7" w14:textId="77777777" w:rsidR="00A20361" w:rsidRPr="005B294B" w:rsidRDefault="00A20361" w:rsidP="00A20361">
      <w:pPr>
        <w:jc w:val="center"/>
        <w:rPr>
          <w:rFonts w:ascii="Times" w:hAnsi="Times" w:cs="Times"/>
          <w:color w:val="000000"/>
        </w:rPr>
      </w:pPr>
      <w:r w:rsidRPr="005B294B">
        <w:rPr>
          <w:rFonts w:ascii="Times" w:hAnsi="Times" w:cs="Times"/>
          <w:color w:val="000000"/>
        </w:rPr>
        <w:t>Dependent Variable: Ten-year equivalent changes in per-pupil revenue from different sources / $1000</w:t>
      </w:r>
    </w:p>
    <w:p w14:paraId="778724AF" w14:textId="77777777" w:rsidR="00A20361" w:rsidRPr="005B294B" w:rsidRDefault="00A20361" w:rsidP="00A20361">
      <w:pPr>
        <w:jc w:val="center"/>
        <w:rPr>
          <w:rFonts w:ascii="Times" w:hAnsi="Times" w:cs="Times"/>
          <w:color w:val="000000"/>
        </w:rPr>
      </w:pPr>
    </w:p>
    <w:tbl>
      <w:tblPr>
        <w:tblW w:w="9353" w:type="dxa"/>
        <w:tblLayout w:type="fixed"/>
        <w:tblCellMar>
          <w:left w:w="75" w:type="dxa"/>
          <w:right w:w="75" w:type="dxa"/>
        </w:tblCellMar>
        <w:tblLook w:val="0000" w:firstRow="0" w:lastRow="0" w:firstColumn="0" w:lastColumn="0" w:noHBand="0" w:noVBand="0"/>
      </w:tblPr>
      <w:tblGrid>
        <w:gridCol w:w="2318"/>
        <w:gridCol w:w="1407"/>
        <w:gridCol w:w="1407"/>
        <w:gridCol w:w="1407"/>
        <w:gridCol w:w="1407"/>
        <w:gridCol w:w="1407"/>
      </w:tblGrid>
      <w:tr w:rsidR="00A20361" w:rsidRPr="005B294B" w14:paraId="791AC14B" w14:textId="77777777" w:rsidTr="00DE6C9E">
        <w:trPr>
          <w:trHeight w:val="807"/>
        </w:trPr>
        <w:tc>
          <w:tcPr>
            <w:tcW w:w="2318" w:type="dxa"/>
            <w:tcBorders>
              <w:top w:val="single" w:sz="6" w:space="0" w:color="auto"/>
              <w:left w:val="nil"/>
              <w:bottom w:val="single" w:sz="4" w:space="0" w:color="auto"/>
              <w:right w:val="nil"/>
            </w:tcBorders>
          </w:tcPr>
          <w:p w14:paraId="169751D3" w14:textId="77777777" w:rsidR="00A20361" w:rsidRPr="00DE6C9E" w:rsidRDefault="00A20361" w:rsidP="0048210B">
            <w:pPr>
              <w:widowControl w:val="0"/>
              <w:autoSpaceDE w:val="0"/>
              <w:autoSpaceDN w:val="0"/>
              <w:adjustRightInd w:val="0"/>
              <w:rPr>
                <w:sz w:val="20"/>
                <w:szCs w:val="20"/>
              </w:rPr>
            </w:pPr>
          </w:p>
        </w:tc>
        <w:tc>
          <w:tcPr>
            <w:tcW w:w="1407" w:type="dxa"/>
            <w:tcBorders>
              <w:top w:val="single" w:sz="6" w:space="0" w:color="auto"/>
              <w:left w:val="nil"/>
              <w:bottom w:val="single" w:sz="4" w:space="0" w:color="auto"/>
              <w:right w:val="nil"/>
            </w:tcBorders>
          </w:tcPr>
          <w:p w14:paraId="462AD60E"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 xml:space="preserve">(1)                  </w:t>
            </w:r>
            <m:oMath>
              <m:r>
                <m:rPr>
                  <m:sty m:val="p"/>
                </m:rPr>
                <w:rPr>
                  <w:rFonts w:ascii="Cambria Math" w:hAnsi="Cambria Math"/>
                  <w:sz w:val="20"/>
                  <w:szCs w:val="20"/>
                </w:rPr>
                <m:t>∆</m:t>
              </m:r>
            </m:oMath>
            <w:r w:rsidRPr="00DE6C9E">
              <w:rPr>
                <w:sz w:val="20"/>
                <w:szCs w:val="20"/>
              </w:rPr>
              <w:t xml:space="preserve">Total Expenditure     </w:t>
            </w:r>
          </w:p>
        </w:tc>
        <w:tc>
          <w:tcPr>
            <w:tcW w:w="1407" w:type="dxa"/>
            <w:tcBorders>
              <w:top w:val="single" w:sz="6" w:space="0" w:color="auto"/>
              <w:left w:val="nil"/>
              <w:bottom w:val="single" w:sz="4" w:space="0" w:color="auto"/>
              <w:right w:val="nil"/>
            </w:tcBorders>
          </w:tcPr>
          <w:p w14:paraId="7462BF15"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 xml:space="preserve">(2)                  </w:t>
            </w:r>
            <m:oMath>
              <m:r>
                <m:rPr>
                  <m:sty m:val="p"/>
                </m:rPr>
                <w:rPr>
                  <w:rFonts w:ascii="Cambria Math" w:hAnsi="Cambria Math"/>
                  <w:sz w:val="20"/>
                  <w:szCs w:val="20"/>
                </w:rPr>
                <m:t>∆</m:t>
              </m:r>
            </m:oMath>
            <w:r w:rsidRPr="00DE6C9E">
              <w:rPr>
                <w:sz w:val="20"/>
                <w:szCs w:val="20"/>
              </w:rPr>
              <w:t xml:space="preserve">Total Revenue      </w:t>
            </w:r>
          </w:p>
        </w:tc>
        <w:tc>
          <w:tcPr>
            <w:tcW w:w="1407" w:type="dxa"/>
            <w:tcBorders>
              <w:top w:val="single" w:sz="6" w:space="0" w:color="auto"/>
              <w:left w:val="nil"/>
              <w:bottom w:val="single" w:sz="4" w:space="0" w:color="auto"/>
              <w:right w:val="nil"/>
            </w:tcBorders>
          </w:tcPr>
          <w:p w14:paraId="0B498D55"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m:oMath>
              <m:r>
                <m:rPr>
                  <m:sty m:val="p"/>
                </m:rPr>
                <w:rPr>
                  <w:rFonts w:ascii="Cambria Math" w:hAnsi="Cambria Math"/>
                  <w:sz w:val="20"/>
                  <w:szCs w:val="20"/>
                </w:rPr>
                <m:t xml:space="preserve"> </m:t>
              </m:r>
            </m:oMath>
          </w:p>
          <w:p w14:paraId="1FBF9D5E"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 xml:space="preserve">Local Revenue      </w:t>
            </w:r>
          </w:p>
        </w:tc>
        <w:tc>
          <w:tcPr>
            <w:tcW w:w="1407" w:type="dxa"/>
            <w:tcBorders>
              <w:top w:val="single" w:sz="6" w:space="0" w:color="auto"/>
              <w:left w:val="nil"/>
              <w:bottom w:val="single" w:sz="4" w:space="0" w:color="auto"/>
              <w:right w:val="nil"/>
            </w:tcBorders>
          </w:tcPr>
          <w:p w14:paraId="1504EE6D"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(4)</w:t>
            </w:r>
            <m:oMath>
              <m:r>
                <m:rPr>
                  <m:sty m:val="p"/>
                </m:rPr>
                <w:rPr>
                  <w:rFonts w:ascii="Cambria Math" w:hAnsi="Cambria Math"/>
                  <w:sz w:val="20"/>
                  <w:szCs w:val="20"/>
                </w:rPr>
                <m:t xml:space="preserve"> </m:t>
              </m:r>
            </m:oMath>
          </w:p>
          <w:p w14:paraId="793B85D0"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 xml:space="preserve">Federal Revenue         </w:t>
            </w:r>
          </w:p>
        </w:tc>
        <w:tc>
          <w:tcPr>
            <w:tcW w:w="1407" w:type="dxa"/>
            <w:tcBorders>
              <w:top w:val="single" w:sz="6" w:space="0" w:color="auto"/>
              <w:left w:val="nil"/>
              <w:bottom w:val="single" w:sz="4" w:space="0" w:color="auto"/>
              <w:right w:val="nil"/>
            </w:tcBorders>
          </w:tcPr>
          <w:p w14:paraId="7B8981EE"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(5)</w:t>
            </w:r>
          </w:p>
          <w:p w14:paraId="654A93F3"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 xml:space="preserve"> ∆</m:t>
              </m:r>
            </m:oMath>
            <w:r w:rsidRPr="00DE6C9E">
              <w:rPr>
                <w:sz w:val="20"/>
                <w:szCs w:val="20"/>
              </w:rPr>
              <w:t xml:space="preserve">State Revenue      </w:t>
            </w:r>
          </w:p>
        </w:tc>
      </w:tr>
      <w:tr w:rsidR="00A20361" w:rsidRPr="005B294B" w14:paraId="3BDB06EC" w14:textId="77777777" w:rsidTr="00DE6C9E">
        <w:trPr>
          <w:trHeight w:val="317"/>
        </w:trPr>
        <w:tc>
          <w:tcPr>
            <w:tcW w:w="2318" w:type="dxa"/>
            <w:tcBorders>
              <w:top w:val="single" w:sz="4" w:space="0" w:color="auto"/>
              <w:left w:val="nil"/>
              <w:bottom w:val="nil"/>
              <w:right w:val="nil"/>
            </w:tcBorders>
          </w:tcPr>
          <w:p w14:paraId="1276494B" w14:textId="77777777" w:rsidR="00A20361" w:rsidRPr="00DE6C9E" w:rsidRDefault="00A20361" w:rsidP="0048210B">
            <w:pPr>
              <w:widowControl w:val="0"/>
              <w:autoSpaceDE w:val="0"/>
              <w:autoSpaceDN w:val="0"/>
              <w:adjustRightInd w:val="0"/>
              <w:rPr>
                <w:sz w:val="20"/>
                <w:szCs w:val="20"/>
              </w:rPr>
            </w:pPr>
          </w:p>
        </w:tc>
        <w:tc>
          <w:tcPr>
            <w:tcW w:w="1407" w:type="dxa"/>
            <w:tcBorders>
              <w:top w:val="single" w:sz="4" w:space="0" w:color="auto"/>
              <w:left w:val="nil"/>
              <w:bottom w:val="nil"/>
              <w:right w:val="nil"/>
            </w:tcBorders>
          </w:tcPr>
          <w:p w14:paraId="5EE67D37" w14:textId="77777777" w:rsidR="00A20361" w:rsidRPr="00DE6C9E" w:rsidRDefault="00A20361" w:rsidP="0048210B">
            <w:pPr>
              <w:widowControl w:val="0"/>
              <w:autoSpaceDE w:val="0"/>
              <w:autoSpaceDN w:val="0"/>
              <w:adjustRightInd w:val="0"/>
              <w:jc w:val="center"/>
              <w:rPr>
                <w:sz w:val="20"/>
                <w:szCs w:val="20"/>
              </w:rPr>
            </w:pPr>
          </w:p>
        </w:tc>
        <w:tc>
          <w:tcPr>
            <w:tcW w:w="1407" w:type="dxa"/>
            <w:tcBorders>
              <w:top w:val="single" w:sz="4" w:space="0" w:color="auto"/>
              <w:left w:val="nil"/>
              <w:bottom w:val="nil"/>
              <w:right w:val="nil"/>
            </w:tcBorders>
          </w:tcPr>
          <w:p w14:paraId="4B5E7EF2" w14:textId="77777777" w:rsidR="00A20361" w:rsidRPr="00DE6C9E" w:rsidRDefault="00A20361" w:rsidP="0048210B">
            <w:pPr>
              <w:widowControl w:val="0"/>
              <w:autoSpaceDE w:val="0"/>
              <w:autoSpaceDN w:val="0"/>
              <w:adjustRightInd w:val="0"/>
              <w:jc w:val="center"/>
              <w:rPr>
                <w:sz w:val="20"/>
                <w:szCs w:val="20"/>
              </w:rPr>
            </w:pPr>
          </w:p>
        </w:tc>
        <w:tc>
          <w:tcPr>
            <w:tcW w:w="1407" w:type="dxa"/>
            <w:tcBorders>
              <w:top w:val="single" w:sz="4" w:space="0" w:color="auto"/>
              <w:left w:val="nil"/>
              <w:bottom w:val="nil"/>
              <w:right w:val="nil"/>
            </w:tcBorders>
          </w:tcPr>
          <w:p w14:paraId="0338ED33" w14:textId="77777777" w:rsidR="00A20361" w:rsidRPr="00DE6C9E" w:rsidRDefault="00A20361" w:rsidP="0048210B">
            <w:pPr>
              <w:widowControl w:val="0"/>
              <w:autoSpaceDE w:val="0"/>
              <w:autoSpaceDN w:val="0"/>
              <w:adjustRightInd w:val="0"/>
              <w:jc w:val="center"/>
              <w:rPr>
                <w:sz w:val="20"/>
                <w:szCs w:val="20"/>
              </w:rPr>
            </w:pPr>
          </w:p>
        </w:tc>
        <w:tc>
          <w:tcPr>
            <w:tcW w:w="1407" w:type="dxa"/>
            <w:tcBorders>
              <w:top w:val="single" w:sz="4" w:space="0" w:color="auto"/>
              <w:left w:val="nil"/>
              <w:bottom w:val="nil"/>
              <w:right w:val="nil"/>
            </w:tcBorders>
          </w:tcPr>
          <w:p w14:paraId="39F0647E" w14:textId="77777777" w:rsidR="00A20361" w:rsidRPr="00DE6C9E" w:rsidRDefault="00A20361" w:rsidP="0048210B">
            <w:pPr>
              <w:widowControl w:val="0"/>
              <w:autoSpaceDE w:val="0"/>
              <w:autoSpaceDN w:val="0"/>
              <w:adjustRightInd w:val="0"/>
              <w:jc w:val="center"/>
              <w:rPr>
                <w:sz w:val="20"/>
                <w:szCs w:val="20"/>
              </w:rPr>
            </w:pPr>
          </w:p>
        </w:tc>
        <w:tc>
          <w:tcPr>
            <w:tcW w:w="1407" w:type="dxa"/>
            <w:tcBorders>
              <w:top w:val="single" w:sz="4" w:space="0" w:color="auto"/>
              <w:left w:val="nil"/>
              <w:bottom w:val="nil"/>
              <w:right w:val="nil"/>
            </w:tcBorders>
          </w:tcPr>
          <w:p w14:paraId="564BFAA2" w14:textId="77777777" w:rsidR="00A20361" w:rsidRPr="00DE6C9E" w:rsidRDefault="00A20361" w:rsidP="0048210B">
            <w:pPr>
              <w:widowControl w:val="0"/>
              <w:autoSpaceDE w:val="0"/>
              <w:autoSpaceDN w:val="0"/>
              <w:adjustRightInd w:val="0"/>
              <w:jc w:val="center"/>
              <w:rPr>
                <w:sz w:val="20"/>
                <w:szCs w:val="20"/>
              </w:rPr>
            </w:pPr>
          </w:p>
        </w:tc>
      </w:tr>
      <w:tr w:rsidR="00A20361" w:rsidRPr="005B294B" w14:paraId="50061B27" w14:textId="77777777" w:rsidTr="00C41ADE">
        <w:trPr>
          <w:trHeight w:val="100"/>
        </w:trPr>
        <w:tc>
          <w:tcPr>
            <w:tcW w:w="2318" w:type="dxa"/>
            <w:tcBorders>
              <w:top w:val="nil"/>
              <w:left w:val="nil"/>
              <w:bottom w:val="nil"/>
              <w:right w:val="nil"/>
            </w:tcBorders>
          </w:tcPr>
          <w:p w14:paraId="5CA55F0E" w14:textId="77777777" w:rsidR="00A20361" w:rsidRPr="00DE6C9E" w:rsidRDefault="00157748" w:rsidP="0048210B">
            <w:pPr>
              <w:widowControl w:val="0"/>
              <w:autoSpaceDE w:val="0"/>
              <w:autoSpaceDN w:val="0"/>
              <w:adjustRightInd w:val="0"/>
              <w:rPr>
                <w:sz w:val="20"/>
                <w:szCs w:val="20"/>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ust</m:t>
                    </m:r>
                  </m:sub>
                </m:sSub>
              </m:oMath>
            </m:oMathPara>
          </w:p>
        </w:tc>
        <w:tc>
          <w:tcPr>
            <w:tcW w:w="1407" w:type="dxa"/>
            <w:tcBorders>
              <w:top w:val="nil"/>
              <w:left w:val="nil"/>
              <w:bottom w:val="nil"/>
              <w:right w:val="nil"/>
            </w:tcBorders>
          </w:tcPr>
          <w:p w14:paraId="5D6DD7CD" w14:textId="152FF2CE" w:rsidR="00A20361" w:rsidRPr="00C41ADE" w:rsidRDefault="00A20361" w:rsidP="00C41ADE">
            <w:pPr>
              <w:pStyle w:val="PlainText"/>
              <w:rPr>
                <w:rFonts w:ascii="Times New Roman" w:hAnsi="Times New Roman" w:cs="Times New Roman"/>
                <w:sz w:val="20"/>
                <w:szCs w:val="20"/>
              </w:rPr>
            </w:pPr>
            <w:r w:rsidRPr="00DE6C9E">
              <w:rPr>
                <w:rFonts w:ascii="Times New Roman" w:hAnsi="Times New Roman" w:cs="Times New Roman"/>
                <w:sz w:val="20"/>
                <w:szCs w:val="20"/>
              </w:rPr>
              <w:t>-2.348***</w:t>
            </w:r>
          </w:p>
        </w:tc>
        <w:tc>
          <w:tcPr>
            <w:tcW w:w="1407" w:type="dxa"/>
            <w:tcBorders>
              <w:top w:val="nil"/>
              <w:left w:val="nil"/>
              <w:bottom w:val="nil"/>
              <w:right w:val="nil"/>
            </w:tcBorders>
          </w:tcPr>
          <w:p w14:paraId="59FCCDD4"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-2.17</w:t>
            </w:r>
            <w:r w:rsidRPr="00DE6C9E">
              <w:rPr>
                <w:rFonts w:hint="eastAsia"/>
                <w:sz w:val="20"/>
                <w:szCs w:val="20"/>
              </w:rPr>
              <w:t>7*</w:t>
            </w:r>
            <w:r w:rsidRPr="00DE6C9E">
              <w:rPr>
                <w:sz w:val="20"/>
                <w:szCs w:val="20"/>
              </w:rPr>
              <w:t xml:space="preserve">**                                 </w:t>
            </w:r>
          </w:p>
        </w:tc>
        <w:tc>
          <w:tcPr>
            <w:tcW w:w="1407" w:type="dxa"/>
            <w:tcBorders>
              <w:top w:val="nil"/>
              <w:left w:val="nil"/>
              <w:bottom w:val="nil"/>
              <w:right w:val="nil"/>
            </w:tcBorders>
          </w:tcPr>
          <w:p w14:paraId="52712F9B"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w:t>
            </w:r>
            <w:r w:rsidRPr="00DE6C9E">
              <w:rPr>
                <w:rFonts w:hint="eastAsia"/>
                <w:sz w:val="20"/>
                <w:szCs w:val="20"/>
              </w:rPr>
              <w:t>77</w:t>
            </w:r>
          </w:p>
        </w:tc>
        <w:tc>
          <w:tcPr>
            <w:tcW w:w="1407" w:type="dxa"/>
            <w:tcBorders>
              <w:top w:val="nil"/>
              <w:left w:val="nil"/>
              <w:bottom w:val="nil"/>
              <w:right w:val="nil"/>
            </w:tcBorders>
          </w:tcPr>
          <w:p w14:paraId="5B3C353C"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-0.055</w:t>
            </w:r>
          </w:p>
        </w:tc>
        <w:tc>
          <w:tcPr>
            <w:tcW w:w="1407" w:type="dxa"/>
            <w:tcBorders>
              <w:top w:val="nil"/>
              <w:left w:val="nil"/>
              <w:bottom w:val="nil"/>
              <w:right w:val="nil"/>
            </w:tcBorders>
          </w:tcPr>
          <w:p w14:paraId="2FD3162A"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-2.199*</w:t>
            </w:r>
          </w:p>
        </w:tc>
      </w:tr>
      <w:tr w:rsidR="00A20361" w:rsidRPr="005B294B" w14:paraId="3691755F" w14:textId="77777777" w:rsidTr="00DE6C9E">
        <w:trPr>
          <w:trHeight w:val="263"/>
        </w:trPr>
        <w:tc>
          <w:tcPr>
            <w:tcW w:w="2318" w:type="dxa"/>
            <w:tcBorders>
              <w:top w:val="nil"/>
              <w:left w:val="nil"/>
              <w:bottom w:val="nil"/>
              <w:right w:val="nil"/>
            </w:tcBorders>
          </w:tcPr>
          <w:p w14:paraId="154C9577" w14:textId="77777777" w:rsidR="00A20361" w:rsidRPr="00DE6C9E" w:rsidRDefault="00A20361" w:rsidP="0048210B">
            <w:pPr>
              <w:widowControl w:val="0"/>
              <w:autoSpaceDE w:val="0"/>
              <w:autoSpaceDN w:val="0"/>
              <w:adjustRightInd w:val="0"/>
              <w:rPr>
                <w:sz w:val="20"/>
                <w:szCs w:val="20"/>
              </w:rPr>
            </w:pPr>
          </w:p>
        </w:tc>
        <w:tc>
          <w:tcPr>
            <w:tcW w:w="1407" w:type="dxa"/>
            <w:tcBorders>
              <w:top w:val="nil"/>
              <w:left w:val="nil"/>
              <w:bottom w:val="nil"/>
              <w:right w:val="nil"/>
            </w:tcBorders>
          </w:tcPr>
          <w:p w14:paraId="360EB81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(0.625)</w:t>
            </w:r>
          </w:p>
        </w:tc>
        <w:tc>
          <w:tcPr>
            <w:tcW w:w="1407" w:type="dxa"/>
            <w:tcBorders>
              <w:top w:val="nil"/>
              <w:left w:val="nil"/>
              <w:bottom w:val="nil"/>
              <w:right w:val="nil"/>
            </w:tcBorders>
          </w:tcPr>
          <w:p w14:paraId="6DB93D9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(0.632)</w:t>
            </w:r>
          </w:p>
        </w:tc>
        <w:tc>
          <w:tcPr>
            <w:tcW w:w="1407" w:type="dxa"/>
            <w:tcBorders>
              <w:top w:val="nil"/>
              <w:left w:val="nil"/>
              <w:bottom w:val="nil"/>
              <w:right w:val="nil"/>
            </w:tcBorders>
          </w:tcPr>
          <w:p w14:paraId="767CD7FE"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(0.875)</w:t>
            </w:r>
          </w:p>
        </w:tc>
        <w:tc>
          <w:tcPr>
            <w:tcW w:w="1407" w:type="dxa"/>
            <w:tcBorders>
              <w:top w:val="nil"/>
              <w:left w:val="nil"/>
              <w:bottom w:val="nil"/>
              <w:right w:val="nil"/>
            </w:tcBorders>
          </w:tcPr>
          <w:p w14:paraId="2E771B25"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(0.064)</w:t>
            </w:r>
          </w:p>
        </w:tc>
        <w:tc>
          <w:tcPr>
            <w:tcW w:w="1407" w:type="dxa"/>
            <w:tcBorders>
              <w:top w:val="nil"/>
              <w:left w:val="nil"/>
              <w:bottom w:val="nil"/>
              <w:right w:val="nil"/>
            </w:tcBorders>
          </w:tcPr>
          <w:p w14:paraId="2A591543"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(0.967)</w:t>
            </w:r>
          </w:p>
        </w:tc>
      </w:tr>
      <w:tr w:rsidR="00A20361" w:rsidRPr="005B294B" w14:paraId="565A159B" w14:textId="77777777" w:rsidTr="00C41ADE">
        <w:tblPrEx>
          <w:tblBorders>
            <w:bottom w:val="single" w:sz="6" w:space="0" w:color="auto"/>
          </w:tblBorders>
        </w:tblPrEx>
        <w:trPr>
          <w:trHeight w:val="100"/>
        </w:trPr>
        <w:tc>
          <w:tcPr>
            <w:tcW w:w="2318" w:type="dxa"/>
            <w:tcBorders>
              <w:top w:val="nil"/>
              <w:left w:val="nil"/>
              <w:bottom w:val="single" w:sz="6" w:space="0" w:color="auto"/>
              <w:right w:val="nil"/>
            </w:tcBorders>
          </w:tcPr>
          <w:p w14:paraId="055082AD" w14:textId="77777777" w:rsidR="00A20361" w:rsidRPr="00DE6C9E" w:rsidRDefault="00A20361" w:rsidP="0048210B">
            <w:pPr>
              <w:widowControl w:val="0"/>
              <w:autoSpaceDE w:val="0"/>
              <w:autoSpaceDN w:val="0"/>
              <w:adjustRightInd w:val="0"/>
              <w:rPr>
                <w:sz w:val="20"/>
                <w:szCs w:val="20"/>
              </w:rPr>
            </w:pPr>
          </w:p>
        </w:tc>
        <w:tc>
          <w:tcPr>
            <w:tcW w:w="1407" w:type="dxa"/>
            <w:tcBorders>
              <w:top w:val="nil"/>
              <w:left w:val="nil"/>
              <w:bottom w:val="single" w:sz="6" w:space="0" w:color="auto"/>
              <w:right w:val="nil"/>
            </w:tcBorders>
          </w:tcPr>
          <w:p w14:paraId="7CB1CD0F" w14:textId="77777777" w:rsidR="00A20361" w:rsidRPr="00DE6C9E" w:rsidRDefault="00A20361" w:rsidP="0048210B">
            <w:pPr>
              <w:widowControl w:val="0"/>
              <w:autoSpaceDE w:val="0"/>
              <w:autoSpaceDN w:val="0"/>
              <w:adjustRightInd w:val="0"/>
              <w:rPr>
                <w:sz w:val="20"/>
                <w:szCs w:val="20"/>
              </w:rPr>
            </w:pPr>
          </w:p>
        </w:tc>
        <w:tc>
          <w:tcPr>
            <w:tcW w:w="1407" w:type="dxa"/>
            <w:tcBorders>
              <w:top w:val="nil"/>
              <w:left w:val="nil"/>
              <w:bottom w:val="single" w:sz="6" w:space="0" w:color="auto"/>
              <w:right w:val="nil"/>
            </w:tcBorders>
          </w:tcPr>
          <w:p w14:paraId="4C14AAB7" w14:textId="77777777" w:rsidR="00A20361" w:rsidRPr="00DE6C9E" w:rsidRDefault="00A20361" w:rsidP="0048210B">
            <w:pPr>
              <w:widowControl w:val="0"/>
              <w:autoSpaceDE w:val="0"/>
              <w:autoSpaceDN w:val="0"/>
              <w:adjustRightInd w:val="0"/>
              <w:rPr>
                <w:sz w:val="20"/>
                <w:szCs w:val="20"/>
              </w:rPr>
            </w:pPr>
          </w:p>
        </w:tc>
        <w:tc>
          <w:tcPr>
            <w:tcW w:w="1407" w:type="dxa"/>
            <w:tcBorders>
              <w:top w:val="nil"/>
              <w:left w:val="nil"/>
              <w:bottom w:val="single" w:sz="6" w:space="0" w:color="auto"/>
              <w:right w:val="nil"/>
            </w:tcBorders>
          </w:tcPr>
          <w:p w14:paraId="4FE60878" w14:textId="77777777" w:rsidR="00A20361" w:rsidRPr="00DE6C9E" w:rsidRDefault="00A20361" w:rsidP="0048210B">
            <w:pPr>
              <w:widowControl w:val="0"/>
              <w:autoSpaceDE w:val="0"/>
              <w:autoSpaceDN w:val="0"/>
              <w:adjustRightInd w:val="0"/>
              <w:rPr>
                <w:sz w:val="20"/>
                <w:szCs w:val="20"/>
              </w:rPr>
            </w:pPr>
          </w:p>
        </w:tc>
        <w:tc>
          <w:tcPr>
            <w:tcW w:w="1407" w:type="dxa"/>
            <w:tcBorders>
              <w:top w:val="nil"/>
              <w:left w:val="nil"/>
              <w:bottom w:val="single" w:sz="6" w:space="0" w:color="auto"/>
              <w:right w:val="nil"/>
            </w:tcBorders>
          </w:tcPr>
          <w:p w14:paraId="46DFC334" w14:textId="77777777" w:rsidR="00A20361" w:rsidRPr="00DE6C9E" w:rsidRDefault="00A20361" w:rsidP="0048210B">
            <w:pPr>
              <w:widowControl w:val="0"/>
              <w:autoSpaceDE w:val="0"/>
              <w:autoSpaceDN w:val="0"/>
              <w:adjustRightInd w:val="0"/>
              <w:rPr>
                <w:sz w:val="20"/>
                <w:szCs w:val="20"/>
              </w:rPr>
            </w:pPr>
          </w:p>
        </w:tc>
        <w:tc>
          <w:tcPr>
            <w:tcW w:w="1407" w:type="dxa"/>
            <w:tcBorders>
              <w:top w:val="nil"/>
              <w:left w:val="nil"/>
              <w:bottom w:val="single" w:sz="6" w:space="0" w:color="auto"/>
              <w:right w:val="nil"/>
            </w:tcBorders>
          </w:tcPr>
          <w:p w14:paraId="1150730B" w14:textId="77777777" w:rsidR="00A20361" w:rsidRPr="00DE6C9E" w:rsidRDefault="00A20361" w:rsidP="0048210B">
            <w:pPr>
              <w:widowControl w:val="0"/>
              <w:autoSpaceDE w:val="0"/>
              <w:autoSpaceDN w:val="0"/>
              <w:adjustRightInd w:val="0"/>
              <w:rPr>
                <w:sz w:val="20"/>
                <w:szCs w:val="20"/>
              </w:rPr>
            </w:pPr>
          </w:p>
        </w:tc>
      </w:tr>
      <w:tr w:rsidR="00A20361" w:rsidRPr="005B294B" w14:paraId="5AB108B2" w14:textId="77777777" w:rsidTr="00DE6C9E">
        <w:tblPrEx>
          <w:tblBorders>
            <w:bottom w:val="single" w:sz="6" w:space="0" w:color="auto"/>
          </w:tblBorders>
        </w:tblPrEx>
        <w:trPr>
          <w:trHeight w:val="89"/>
        </w:trPr>
        <w:tc>
          <w:tcPr>
            <w:tcW w:w="2318" w:type="dxa"/>
            <w:tcBorders>
              <w:top w:val="single" w:sz="6" w:space="0" w:color="auto"/>
              <w:left w:val="nil"/>
              <w:bottom w:val="nil"/>
              <w:right w:val="nil"/>
            </w:tcBorders>
          </w:tcPr>
          <w:p w14:paraId="58FBC661" w14:textId="77777777" w:rsidR="00A20361" w:rsidRPr="00DE6C9E" w:rsidRDefault="00A20361" w:rsidP="0048210B">
            <w:pPr>
              <w:widowControl w:val="0"/>
              <w:autoSpaceDE w:val="0"/>
              <w:autoSpaceDN w:val="0"/>
              <w:adjustRightInd w:val="0"/>
              <w:rPr>
                <w:sz w:val="20"/>
                <w:szCs w:val="20"/>
              </w:rPr>
            </w:pPr>
            <w:r w:rsidRPr="00DE6C9E">
              <w:rPr>
                <w:sz w:val="20"/>
                <w:szCs w:val="20"/>
              </w:rPr>
              <w:t>Observations</w:t>
            </w:r>
          </w:p>
        </w:tc>
        <w:tc>
          <w:tcPr>
            <w:tcW w:w="1407" w:type="dxa"/>
            <w:tcBorders>
              <w:top w:val="single" w:sz="6" w:space="0" w:color="auto"/>
              <w:left w:val="nil"/>
              <w:bottom w:val="nil"/>
              <w:right w:val="nil"/>
            </w:tcBorders>
          </w:tcPr>
          <w:p w14:paraId="4DF666BB" w14:textId="77777777" w:rsidR="00A20361" w:rsidRPr="00DE6C9E" w:rsidRDefault="00A20361" w:rsidP="0048210B">
            <w:pPr>
              <w:widowControl w:val="0"/>
              <w:autoSpaceDE w:val="0"/>
              <w:autoSpaceDN w:val="0"/>
              <w:adjustRightInd w:val="0"/>
              <w:jc w:val="center"/>
              <w:rPr>
                <w:sz w:val="20"/>
                <w:szCs w:val="20"/>
              </w:rPr>
            </w:pPr>
            <w:r w:rsidRPr="00DE6C9E">
              <w:rPr>
                <w:rFonts w:hint="eastAsia"/>
                <w:sz w:val="20"/>
                <w:szCs w:val="20"/>
              </w:rPr>
              <w:t>96</w:t>
            </w:r>
          </w:p>
        </w:tc>
        <w:tc>
          <w:tcPr>
            <w:tcW w:w="1407" w:type="dxa"/>
            <w:tcBorders>
              <w:top w:val="single" w:sz="6" w:space="0" w:color="auto"/>
              <w:left w:val="nil"/>
              <w:bottom w:val="nil"/>
              <w:right w:val="nil"/>
            </w:tcBorders>
          </w:tcPr>
          <w:p w14:paraId="00CFF891" w14:textId="77777777" w:rsidR="00A20361" w:rsidRPr="00DE6C9E" w:rsidRDefault="00A20361" w:rsidP="0048210B">
            <w:pPr>
              <w:widowControl w:val="0"/>
              <w:autoSpaceDE w:val="0"/>
              <w:autoSpaceDN w:val="0"/>
              <w:adjustRightInd w:val="0"/>
              <w:jc w:val="center"/>
              <w:rPr>
                <w:sz w:val="20"/>
                <w:szCs w:val="20"/>
              </w:rPr>
            </w:pPr>
            <w:r w:rsidRPr="00DE6C9E">
              <w:rPr>
                <w:rFonts w:hint="eastAsia"/>
                <w:sz w:val="20"/>
                <w:szCs w:val="20"/>
              </w:rPr>
              <w:t>96</w:t>
            </w:r>
          </w:p>
        </w:tc>
        <w:tc>
          <w:tcPr>
            <w:tcW w:w="1407" w:type="dxa"/>
            <w:tcBorders>
              <w:top w:val="single" w:sz="6" w:space="0" w:color="auto"/>
              <w:left w:val="nil"/>
              <w:bottom w:val="nil"/>
              <w:right w:val="nil"/>
            </w:tcBorders>
          </w:tcPr>
          <w:p w14:paraId="457F83FB"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96</w:t>
            </w:r>
          </w:p>
        </w:tc>
        <w:tc>
          <w:tcPr>
            <w:tcW w:w="1407" w:type="dxa"/>
            <w:tcBorders>
              <w:top w:val="single" w:sz="6" w:space="0" w:color="auto"/>
              <w:left w:val="nil"/>
              <w:bottom w:val="nil"/>
              <w:right w:val="nil"/>
            </w:tcBorders>
          </w:tcPr>
          <w:p w14:paraId="47F6FB97"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96</w:t>
            </w:r>
          </w:p>
        </w:tc>
        <w:tc>
          <w:tcPr>
            <w:tcW w:w="1407" w:type="dxa"/>
            <w:tcBorders>
              <w:top w:val="single" w:sz="6" w:space="0" w:color="auto"/>
              <w:left w:val="nil"/>
              <w:bottom w:val="nil"/>
              <w:right w:val="nil"/>
            </w:tcBorders>
          </w:tcPr>
          <w:p w14:paraId="691EB921"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96</w:t>
            </w:r>
          </w:p>
        </w:tc>
      </w:tr>
      <w:tr w:rsidR="00A20361" w:rsidRPr="005B294B" w14:paraId="11277799" w14:textId="77777777" w:rsidTr="00DE6C9E">
        <w:tblPrEx>
          <w:tblBorders>
            <w:bottom w:val="single" w:sz="6" w:space="0" w:color="auto"/>
          </w:tblBorders>
        </w:tblPrEx>
        <w:trPr>
          <w:trHeight w:val="263"/>
        </w:trPr>
        <w:tc>
          <w:tcPr>
            <w:tcW w:w="2318" w:type="dxa"/>
            <w:tcBorders>
              <w:top w:val="nil"/>
              <w:left w:val="nil"/>
              <w:bottom w:val="single" w:sz="6" w:space="0" w:color="auto"/>
              <w:right w:val="nil"/>
            </w:tcBorders>
          </w:tcPr>
          <w:p w14:paraId="54A7691B" w14:textId="77777777" w:rsidR="00A20361" w:rsidRPr="00DE6C9E" w:rsidRDefault="00A20361" w:rsidP="0048210B">
            <w:pPr>
              <w:widowControl w:val="0"/>
              <w:autoSpaceDE w:val="0"/>
              <w:autoSpaceDN w:val="0"/>
              <w:adjustRightInd w:val="0"/>
              <w:rPr>
                <w:sz w:val="20"/>
                <w:szCs w:val="20"/>
              </w:rPr>
            </w:pPr>
            <w:r w:rsidRPr="00DE6C9E">
              <w:rPr>
                <w:sz w:val="20"/>
                <w:szCs w:val="20"/>
              </w:rPr>
              <w:t>R-squared</w:t>
            </w:r>
          </w:p>
        </w:tc>
        <w:tc>
          <w:tcPr>
            <w:tcW w:w="1407" w:type="dxa"/>
            <w:tcBorders>
              <w:top w:val="nil"/>
              <w:left w:val="nil"/>
              <w:bottom w:val="single" w:sz="6" w:space="0" w:color="auto"/>
              <w:right w:val="nil"/>
            </w:tcBorders>
          </w:tcPr>
          <w:p w14:paraId="357825D9"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0.577</w:t>
            </w:r>
          </w:p>
        </w:tc>
        <w:tc>
          <w:tcPr>
            <w:tcW w:w="1407" w:type="dxa"/>
            <w:tcBorders>
              <w:top w:val="nil"/>
              <w:left w:val="nil"/>
              <w:bottom w:val="single" w:sz="6" w:space="0" w:color="auto"/>
              <w:right w:val="nil"/>
            </w:tcBorders>
          </w:tcPr>
          <w:p w14:paraId="5D50C50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0.573</w:t>
            </w:r>
          </w:p>
        </w:tc>
        <w:tc>
          <w:tcPr>
            <w:tcW w:w="1407" w:type="dxa"/>
            <w:tcBorders>
              <w:top w:val="nil"/>
              <w:left w:val="nil"/>
              <w:bottom w:val="single" w:sz="6" w:space="0" w:color="auto"/>
              <w:right w:val="nil"/>
            </w:tcBorders>
          </w:tcPr>
          <w:p w14:paraId="7EA39D84"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w:t>
            </w:r>
            <w:r w:rsidRPr="00DE6C9E">
              <w:rPr>
                <w:rFonts w:hint="eastAsia"/>
                <w:sz w:val="20"/>
                <w:szCs w:val="20"/>
              </w:rPr>
              <w:t>31</w:t>
            </w:r>
            <w:r w:rsidRPr="00DE6C9E">
              <w:rPr>
                <w:sz w:val="20"/>
                <w:szCs w:val="20"/>
              </w:rPr>
              <w:t>4</w:t>
            </w:r>
          </w:p>
        </w:tc>
        <w:tc>
          <w:tcPr>
            <w:tcW w:w="1407" w:type="dxa"/>
            <w:tcBorders>
              <w:top w:val="nil"/>
              <w:left w:val="nil"/>
              <w:bottom w:val="single" w:sz="6" w:space="0" w:color="auto"/>
              <w:right w:val="nil"/>
            </w:tcBorders>
          </w:tcPr>
          <w:p w14:paraId="65DEDA72"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0.527</w:t>
            </w:r>
          </w:p>
        </w:tc>
        <w:tc>
          <w:tcPr>
            <w:tcW w:w="1407" w:type="dxa"/>
            <w:tcBorders>
              <w:top w:val="nil"/>
              <w:left w:val="nil"/>
              <w:bottom w:val="single" w:sz="6" w:space="0" w:color="auto"/>
              <w:right w:val="nil"/>
            </w:tcBorders>
          </w:tcPr>
          <w:p w14:paraId="316F2D3E"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0.438</w:t>
            </w:r>
          </w:p>
        </w:tc>
      </w:tr>
    </w:tbl>
    <w:p w14:paraId="4671E3CC" w14:textId="77777777" w:rsidR="00DE6C9E" w:rsidRPr="00DE6C9E" w:rsidRDefault="00A20361" w:rsidP="00DE6C9E">
      <w:pPr>
        <w:jc w:val="both"/>
        <w:rPr>
          <w:rFonts w:ascii="Times" w:hAnsi="Times" w:cs="Times"/>
          <w:color w:val="000000"/>
          <w:sz w:val="21"/>
          <w:szCs w:val="21"/>
        </w:rPr>
      </w:pPr>
      <w:r w:rsidRPr="00DE6C9E">
        <w:rPr>
          <w:rFonts w:ascii="Times" w:hAnsi="Times" w:cs="Times"/>
          <w:color w:val="000000"/>
          <w:sz w:val="21"/>
          <w:szCs w:val="21"/>
        </w:rPr>
        <w:t xml:space="preserve">Notes: All regressions include the full vectors of control variables from column (5) of Table 3 </w:t>
      </w:r>
      <w:r w:rsidRPr="00DE6C9E">
        <w:rPr>
          <w:rFonts w:ascii="Times" w:hAnsi="Times" w:cs="Times" w:hint="eastAsia"/>
          <w:color w:val="000000"/>
          <w:sz w:val="21"/>
          <w:szCs w:val="21"/>
        </w:rPr>
        <w:t xml:space="preserve">but at </w:t>
      </w:r>
      <w:r w:rsidRPr="00DE6C9E">
        <w:rPr>
          <w:rFonts w:ascii="Times" w:hAnsi="Times" w:cs="Times"/>
          <w:color w:val="000000"/>
          <w:sz w:val="21"/>
          <w:szCs w:val="21"/>
        </w:rPr>
        <w:t>CZ</w:t>
      </w:r>
      <w:r w:rsidRPr="00DE6C9E">
        <w:rPr>
          <w:rFonts w:ascii="Times" w:hAnsi="Times" w:cs="Times" w:hint="eastAsia"/>
          <w:color w:val="000000"/>
          <w:sz w:val="21"/>
          <w:szCs w:val="21"/>
        </w:rPr>
        <w:t xml:space="preserve"> level</w:t>
      </w:r>
      <w:r w:rsidRPr="00DE6C9E">
        <w:rPr>
          <w:rFonts w:ascii="Times" w:hAnsi="Times" w:cs="Times"/>
          <w:color w:val="000000"/>
          <w:sz w:val="21"/>
          <w:szCs w:val="21"/>
        </w:rPr>
        <w:t xml:space="preserve">. Robust standard errors in parentheses. Models are weighted by start of period state share of national population. </w:t>
      </w:r>
      <w:r w:rsidR="00DE6C9E" w:rsidRPr="00DE6C9E">
        <w:rPr>
          <w:rFonts w:ascii="Times" w:hAnsi="Times" w:cs="Times"/>
          <w:color w:val="000000"/>
          <w:sz w:val="21"/>
          <w:szCs w:val="21"/>
        </w:rPr>
        <w:t>* p&lt;0.05, ** p&lt;0.01, *** p&lt;0.001</w:t>
      </w:r>
    </w:p>
    <w:p w14:paraId="379636CE" w14:textId="1A3CE0DA" w:rsidR="00A20361" w:rsidRPr="005B294B" w:rsidRDefault="00A20361" w:rsidP="00A20361">
      <w:pPr>
        <w:widowControl w:val="0"/>
        <w:autoSpaceDE w:val="0"/>
        <w:autoSpaceDN w:val="0"/>
        <w:adjustRightInd w:val="0"/>
        <w:spacing w:after="240"/>
        <w:rPr>
          <w:rFonts w:ascii="Times" w:hAnsi="Times" w:cs="Times"/>
          <w:i/>
          <w:iCs/>
          <w:color w:val="000000"/>
          <w:sz w:val="21"/>
          <w:szCs w:val="21"/>
        </w:rPr>
      </w:pPr>
    </w:p>
    <w:p w14:paraId="18C14B37" w14:textId="77777777" w:rsidR="00A20361" w:rsidRPr="005B294B" w:rsidRDefault="00A20361" w:rsidP="00A20361">
      <w:pPr>
        <w:rPr>
          <w:rFonts w:ascii="Times" w:hAnsi="Times" w:cs="Times"/>
          <w:color w:val="000000"/>
        </w:rPr>
      </w:pPr>
    </w:p>
    <w:p w14:paraId="4A6F304E" w14:textId="77777777" w:rsidR="00A20361" w:rsidRPr="005B294B" w:rsidRDefault="00A20361" w:rsidP="00A20361">
      <w:pPr>
        <w:rPr>
          <w:rFonts w:ascii="Times" w:hAnsi="Times" w:cs="Times"/>
          <w:color w:val="000000"/>
        </w:rPr>
      </w:pPr>
    </w:p>
    <w:p w14:paraId="0AD07969" w14:textId="77777777" w:rsidR="00841E1D" w:rsidRDefault="00841E1D" w:rsidP="00A20361">
      <w:pPr>
        <w:jc w:val="center"/>
        <w:rPr>
          <w:rFonts w:ascii="Times" w:hAnsi="Times" w:cs="Times"/>
          <w:color w:val="000000"/>
        </w:rPr>
      </w:pPr>
    </w:p>
    <w:p w14:paraId="269D0A70" w14:textId="0C8E6EBE" w:rsidR="00A20361" w:rsidRPr="00841E1D" w:rsidRDefault="00A20361" w:rsidP="00841E1D">
      <w:pPr>
        <w:rPr>
          <w:rFonts w:ascii="Times" w:hAnsi="Times" w:cs="Times"/>
          <w:b/>
          <w:bCs/>
          <w:color w:val="000000"/>
        </w:rPr>
      </w:pPr>
      <w:r w:rsidRPr="00841E1D">
        <w:rPr>
          <w:rFonts w:ascii="Times" w:hAnsi="Times" w:cs="Times"/>
          <w:b/>
          <w:bCs/>
          <w:color w:val="000000"/>
        </w:rPr>
        <w:lastRenderedPageBreak/>
        <w:t>Table</w:t>
      </w:r>
      <w:r w:rsidRPr="00841E1D">
        <w:rPr>
          <w:rFonts w:ascii="Times" w:hAnsi="Times" w:cs="Times" w:hint="eastAsia"/>
          <w:b/>
          <w:bCs/>
          <w:color w:val="000000"/>
        </w:rPr>
        <w:t xml:space="preserve"> </w:t>
      </w:r>
      <w:r w:rsidRPr="00841E1D">
        <w:rPr>
          <w:rFonts w:ascii="Times" w:hAnsi="Times" w:cs="Times"/>
          <w:b/>
          <w:bCs/>
          <w:color w:val="000000"/>
        </w:rPr>
        <w:t>9 Import from China and per-pupil revenue from different sources,</w:t>
      </w:r>
      <w:r w:rsidRPr="00841E1D">
        <w:rPr>
          <w:rFonts w:ascii="Times" w:hAnsi="Times" w:cs="Times" w:hint="eastAsia"/>
          <w:b/>
          <w:bCs/>
          <w:color w:val="000000"/>
        </w:rPr>
        <w:t xml:space="preserve"> School District</w:t>
      </w:r>
      <w:r w:rsidRPr="00841E1D">
        <w:rPr>
          <w:rFonts w:ascii="Times" w:hAnsi="Times" w:cs="Times"/>
          <w:b/>
          <w:bCs/>
          <w:color w:val="000000"/>
        </w:rPr>
        <w:t xml:space="preserve"> Level</w:t>
      </w:r>
      <w:r w:rsidRPr="00841E1D">
        <w:rPr>
          <w:rFonts w:ascii="Times" w:hAnsi="Times" w:cs="Times" w:hint="eastAsia"/>
          <w:b/>
          <w:bCs/>
          <w:color w:val="000000"/>
        </w:rPr>
        <w:t>,</w:t>
      </w:r>
      <w:r w:rsidRPr="00841E1D">
        <w:rPr>
          <w:rFonts w:ascii="Times" w:hAnsi="Times" w:cs="Times"/>
          <w:b/>
          <w:bCs/>
          <w:color w:val="000000"/>
        </w:rPr>
        <w:t xml:space="preserve"> 1990-2000, 2SLS</w:t>
      </w:r>
    </w:p>
    <w:p w14:paraId="71A625F4" w14:textId="77777777" w:rsidR="00A20361" w:rsidRPr="005B294B" w:rsidRDefault="00A20361" w:rsidP="00A20361">
      <w:pPr>
        <w:jc w:val="center"/>
        <w:rPr>
          <w:rFonts w:ascii="Times" w:hAnsi="Times" w:cs="Times"/>
          <w:color w:val="000000"/>
        </w:rPr>
      </w:pPr>
      <w:r w:rsidRPr="005B294B">
        <w:rPr>
          <w:rFonts w:ascii="Times" w:hAnsi="Times" w:cs="Times"/>
          <w:color w:val="000000"/>
        </w:rPr>
        <w:t xml:space="preserve">Dependent Variable: Ten-year equivalent changes in per-pupil </w:t>
      </w:r>
      <w:r>
        <w:rPr>
          <w:rFonts w:ascii="Times" w:hAnsi="Times" w:cs="Times"/>
          <w:color w:val="000000"/>
        </w:rPr>
        <w:t xml:space="preserve">expenditure and </w:t>
      </w:r>
      <w:r w:rsidRPr="005B294B">
        <w:rPr>
          <w:rFonts w:ascii="Times" w:hAnsi="Times" w:cs="Times"/>
          <w:color w:val="000000"/>
        </w:rPr>
        <w:t>revenue from different sources / $1000</w:t>
      </w:r>
    </w:p>
    <w:p w14:paraId="557842A1" w14:textId="77777777" w:rsidR="00A20361" w:rsidRDefault="00A20361" w:rsidP="00A20361">
      <w:pPr>
        <w:rPr>
          <w:rFonts w:ascii="Times" w:hAnsi="Times" w:cs="Times"/>
          <w:color w:val="000000"/>
        </w:rPr>
      </w:pPr>
    </w:p>
    <w:p w14:paraId="01A0F741" w14:textId="77777777" w:rsidR="00A20361" w:rsidRDefault="00A20361" w:rsidP="00A20361">
      <w:pPr>
        <w:rPr>
          <w:rFonts w:ascii="Times" w:hAnsi="Times" w:cs="Times"/>
          <w:color w:val="000000"/>
        </w:rPr>
      </w:pPr>
    </w:p>
    <w:tbl>
      <w:tblPr>
        <w:tblW w:w="8749" w:type="dxa"/>
        <w:tblBorders>
          <w:top w:val="single" w:sz="4" w:space="0" w:color="auto"/>
          <w:bottom w:val="single" w:sz="4" w:space="0" w:color="auto"/>
        </w:tblBorders>
        <w:tblLook w:val="04A0" w:firstRow="1" w:lastRow="0" w:firstColumn="1" w:lastColumn="0" w:noHBand="0" w:noVBand="1"/>
      </w:tblPr>
      <w:tblGrid>
        <w:gridCol w:w="2160"/>
        <w:gridCol w:w="1389"/>
        <w:gridCol w:w="1300"/>
        <w:gridCol w:w="1300"/>
        <w:gridCol w:w="1300"/>
        <w:gridCol w:w="1300"/>
      </w:tblGrid>
      <w:tr w:rsidR="00A20361" w14:paraId="3AA58792" w14:textId="77777777" w:rsidTr="0048210B">
        <w:trPr>
          <w:trHeight w:val="320"/>
        </w:trPr>
        <w:tc>
          <w:tcPr>
            <w:tcW w:w="2160" w:type="dxa"/>
            <w:tcBorders>
              <w:top w:val="single" w:sz="4" w:space="0" w:color="auto"/>
              <w:bottom w:val="single" w:sz="4" w:space="0" w:color="auto"/>
            </w:tcBorders>
            <w:shd w:val="clear" w:color="auto" w:fill="auto"/>
            <w:noWrap/>
            <w:vAlign w:val="bottom"/>
            <w:hideMark/>
          </w:tcPr>
          <w:p w14:paraId="173A2726" w14:textId="77777777" w:rsidR="00A20361" w:rsidRPr="00DE6C9E" w:rsidRDefault="00A20361" w:rsidP="0048210B">
            <w:pPr>
              <w:rPr>
                <w:sz w:val="20"/>
                <w:szCs w:val="20"/>
              </w:rPr>
            </w:pPr>
          </w:p>
        </w:tc>
        <w:tc>
          <w:tcPr>
            <w:tcW w:w="1389" w:type="dxa"/>
            <w:tcBorders>
              <w:top w:val="single" w:sz="4" w:space="0" w:color="auto"/>
              <w:bottom w:val="single" w:sz="4" w:space="0" w:color="auto"/>
            </w:tcBorders>
            <w:shd w:val="clear" w:color="auto" w:fill="auto"/>
            <w:noWrap/>
            <w:hideMark/>
          </w:tcPr>
          <w:p w14:paraId="2CFC8891" w14:textId="77777777" w:rsidR="00A20361" w:rsidRPr="00DE6C9E" w:rsidRDefault="00A20361" w:rsidP="0048210B">
            <w:pPr>
              <w:rPr>
                <w:sz w:val="20"/>
                <w:szCs w:val="20"/>
              </w:rPr>
            </w:pPr>
            <w:r w:rsidRPr="00DE6C9E">
              <w:rPr>
                <w:sz w:val="20"/>
                <w:szCs w:val="20"/>
              </w:rPr>
              <w:t xml:space="preserve">(1)                  </w:t>
            </w:r>
            <m:oMath>
              <m:r>
                <m:rPr>
                  <m:sty m:val="p"/>
                </m:rPr>
                <w:rPr>
                  <w:rFonts w:ascii="Cambria Math" w:hAnsi="Cambria Math"/>
                  <w:sz w:val="20"/>
                  <w:szCs w:val="20"/>
                </w:rPr>
                <m:t>∆</m:t>
              </m:r>
            </m:oMath>
            <w:r w:rsidRPr="00DE6C9E">
              <w:rPr>
                <w:sz w:val="20"/>
                <w:szCs w:val="20"/>
              </w:rPr>
              <w:t xml:space="preserve">Total Expenditure     </w:t>
            </w:r>
          </w:p>
        </w:tc>
        <w:tc>
          <w:tcPr>
            <w:tcW w:w="1300" w:type="dxa"/>
            <w:tcBorders>
              <w:top w:val="single" w:sz="4" w:space="0" w:color="auto"/>
              <w:bottom w:val="single" w:sz="4" w:space="0" w:color="auto"/>
            </w:tcBorders>
            <w:shd w:val="clear" w:color="auto" w:fill="auto"/>
            <w:noWrap/>
            <w:hideMark/>
          </w:tcPr>
          <w:p w14:paraId="6F0FE4A6" w14:textId="77777777" w:rsidR="00A20361" w:rsidRPr="00DE6C9E" w:rsidRDefault="00A20361" w:rsidP="0048210B">
            <w:pPr>
              <w:rPr>
                <w:sz w:val="20"/>
                <w:szCs w:val="20"/>
              </w:rPr>
            </w:pPr>
            <w:r w:rsidRPr="00DE6C9E">
              <w:rPr>
                <w:sz w:val="20"/>
                <w:szCs w:val="20"/>
              </w:rPr>
              <w:t xml:space="preserve">(2)                  </w:t>
            </w:r>
            <m:oMath>
              <m:r>
                <m:rPr>
                  <m:sty m:val="p"/>
                </m:rPr>
                <w:rPr>
                  <w:rFonts w:ascii="Cambria Math" w:hAnsi="Cambria Math"/>
                  <w:sz w:val="20"/>
                  <w:szCs w:val="20"/>
                </w:rPr>
                <m:t>∆</m:t>
              </m:r>
            </m:oMath>
            <w:r w:rsidRPr="00DE6C9E">
              <w:rPr>
                <w:sz w:val="20"/>
                <w:szCs w:val="20"/>
              </w:rPr>
              <w:t xml:space="preserve">Total Revenue      </w:t>
            </w:r>
          </w:p>
        </w:tc>
        <w:tc>
          <w:tcPr>
            <w:tcW w:w="1300" w:type="dxa"/>
            <w:tcBorders>
              <w:top w:val="single" w:sz="4" w:space="0" w:color="auto"/>
              <w:bottom w:val="single" w:sz="4" w:space="0" w:color="auto"/>
            </w:tcBorders>
            <w:shd w:val="clear" w:color="auto" w:fill="auto"/>
            <w:noWrap/>
            <w:hideMark/>
          </w:tcPr>
          <w:p w14:paraId="4FC39ED1"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m:oMath>
              <m:r>
                <m:rPr>
                  <m:sty m:val="p"/>
                </m:rPr>
                <w:rPr>
                  <w:rFonts w:ascii="Cambria Math" w:hAnsi="Cambria Math"/>
                  <w:sz w:val="20"/>
                  <w:szCs w:val="20"/>
                </w:rPr>
                <m:t xml:space="preserve"> </m:t>
              </m:r>
            </m:oMath>
          </w:p>
          <w:p w14:paraId="1EB08661" w14:textId="77777777" w:rsidR="00A20361" w:rsidRPr="00DE6C9E" w:rsidRDefault="00A20361" w:rsidP="0048210B">
            <w:pPr>
              <w:rPr>
                <w:sz w:val="20"/>
                <w:szCs w:val="20"/>
              </w:rPr>
            </w:pPr>
            <m:oMath>
              <m:r>
                <m:rPr>
                  <m:sty m:val="p"/>
                </m:rPr>
                <w:rPr>
                  <w:rFonts w:ascii="Cambria Math" w:hAnsi="Cambria Math"/>
                  <w:sz w:val="20"/>
                  <w:szCs w:val="20"/>
                </w:rPr>
                <m:t>∆</m:t>
              </m:r>
            </m:oMath>
            <w:r w:rsidRPr="00DE6C9E">
              <w:rPr>
                <w:sz w:val="20"/>
                <w:szCs w:val="20"/>
              </w:rPr>
              <w:t xml:space="preserve">Local Revenue      </w:t>
            </w:r>
          </w:p>
        </w:tc>
        <w:tc>
          <w:tcPr>
            <w:tcW w:w="1300" w:type="dxa"/>
            <w:tcBorders>
              <w:top w:val="single" w:sz="4" w:space="0" w:color="auto"/>
              <w:bottom w:val="single" w:sz="4" w:space="0" w:color="auto"/>
            </w:tcBorders>
            <w:shd w:val="clear" w:color="auto" w:fill="auto"/>
            <w:noWrap/>
            <w:hideMark/>
          </w:tcPr>
          <w:p w14:paraId="751FF18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(4)</w:t>
            </w:r>
            <m:oMath>
              <m:r>
                <m:rPr>
                  <m:sty m:val="p"/>
                </m:rPr>
                <w:rPr>
                  <w:rFonts w:ascii="Cambria Math" w:hAnsi="Cambria Math"/>
                  <w:sz w:val="20"/>
                  <w:szCs w:val="20"/>
                </w:rPr>
                <m:t xml:space="preserve"> </m:t>
              </m:r>
            </m:oMath>
          </w:p>
          <w:p w14:paraId="6581D462" w14:textId="77777777" w:rsidR="00A20361" w:rsidRPr="00DE6C9E" w:rsidRDefault="00A20361" w:rsidP="0048210B">
            <w:pPr>
              <w:rPr>
                <w:sz w:val="20"/>
                <w:szCs w:val="20"/>
              </w:rPr>
            </w:pPr>
            <m:oMath>
              <m:r>
                <m:rPr>
                  <m:sty m:val="p"/>
                </m:rPr>
                <w:rPr>
                  <w:rFonts w:ascii="Cambria Math" w:hAnsi="Cambria Math"/>
                  <w:sz w:val="20"/>
                  <w:szCs w:val="20"/>
                </w:rPr>
                <m:t>∆</m:t>
              </m:r>
            </m:oMath>
            <w:r w:rsidRPr="00DE6C9E">
              <w:rPr>
                <w:sz w:val="20"/>
                <w:szCs w:val="20"/>
              </w:rPr>
              <w:t xml:space="preserve">Federal Revenue         </w:t>
            </w:r>
          </w:p>
        </w:tc>
        <w:tc>
          <w:tcPr>
            <w:tcW w:w="1300" w:type="dxa"/>
            <w:tcBorders>
              <w:top w:val="single" w:sz="4" w:space="0" w:color="auto"/>
              <w:bottom w:val="single" w:sz="4" w:space="0" w:color="auto"/>
            </w:tcBorders>
            <w:shd w:val="clear" w:color="auto" w:fill="auto"/>
            <w:noWrap/>
            <w:hideMark/>
          </w:tcPr>
          <w:p w14:paraId="40BD95AF"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(5)</w:t>
            </w:r>
          </w:p>
          <w:p w14:paraId="44242B7F" w14:textId="77777777" w:rsidR="00A20361" w:rsidRPr="00DE6C9E" w:rsidRDefault="00A20361" w:rsidP="0048210B">
            <w:pPr>
              <w:rPr>
                <w:sz w:val="20"/>
                <w:szCs w:val="20"/>
              </w:rPr>
            </w:pPr>
            <m:oMath>
              <m:r>
                <m:rPr>
                  <m:sty m:val="p"/>
                </m:rPr>
                <w:rPr>
                  <w:rFonts w:ascii="Cambria Math" w:hAnsi="Cambria Math"/>
                  <w:sz w:val="20"/>
                  <w:szCs w:val="20"/>
                </w:rPr>
                <m:t xml:space="preserve"> ∆</m:t>
              </m:r>
            </m:oMath>
            <w:r w:rsidRPr="00DE6C9E">
              <w:rPr>
                <w:sz w:val="20"/>
                <w:szCs w:val="20"/>
              </w:rPr>
              <w:t xml:space="preserve">State Revenue      </w:t>
            </w:r>
          </w:p>
        </w:tc>
      </w:tr>
      <w:tr w:rsidR="00A20361" w14:paraId="17581064" w14:textId="77777777" w:rsidTr="0048210B">
        <w:trPr>
          <w:trHeight w:val="320"/>
        </w:trPr>
        <w:tc>
          <w:tcPr>
            <w:tcW w:w="2160" w:type="dxa"/>
            <w:tcBorders>
              <w:top w:val="single" w:sz="4" w:space="0" w:color="auto"/>
            </w:tcBorders>
            <w:shd w:val="clear" w:color="auto" w:fill="auto"/>
            <w:noWrap/>
            <w:vAlign w:val="bottom"/>
            <w:hideMark/>
          </w:tcPr>
          <w:p w14:paraId="7B4EBD1C" w14:textId="77777777" w:rsidR="00A20361" w:rsidRPr="00DE6C9E" w:rsidRDefault="00157748" w:rsidP="0048210B">
            <w:pPr>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m:t>
                    </m:r>
                    <m:r>
                      <m:rPr>
                        <m:sty m:val="p"/>
                      </m:rPr>
                      <w:rPr>
                        <w:rFonts w:ascii="Cambria Math" w:hAnsi="Cambria Math"/>
                        <w:sz w:val="20"/>
                        <w:szCs w:val="20"/>
                      </w:rPr>
                      <m:t>,</m:t>
                    </m:r>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t</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Manu%</m:t>
                    </m:r>
                  </m:e>
                  <m:sub>
                    <m:r>
                      <w:rPr>
                        <w:rFonts w:ascii="Cambria Math" w:hAnsi="Cambria Math"/>
                        <w:sz w:val="20"/>
                        <w:szCs w:val="20"/>
                      </w:rPr>
                      <m:t>d</m:t>
                    </m:r>
                  </m:sub>
                </m:sSub>
              </m:oMath>
            </m:oMathPara>
          </w:p>
        </w:tc>
        <w:tc>
          <w:tcPr>
            <w:tcW w:w="1389" w:type="dxa"/>
            <w:tcBorders>
              <w:top w:val="single" w:sz="4" w:space="0" w:color="auto"/>
            </w:tcBorders>
            <w:shd w:val="clear" w:color="auto" w:fill="auto"/>
            <w:noWrap/>
            <w:vAlign w:val="bottom"/>
            <w:hideMark/>
          </w:tcPr>
          <w:p w14:paraId="16B9C98B" w14:textId="77777777" w:rsidR="00A20361" w:rsidRPr="00DE6C9E" w:rsidRDefault="00A20361" w:rsidP="0048210B">
            <w:pPr>
              <w:rPr>
                <w:sz w:val="20"/>
                <w:szCs w:val="20"/>
              </w:rPr>
            </w:pPr>
            <w:r w:rsidRPr="00DE6C9E">
              <w:rPr>
                <w:sz w:val="20"/>
                <w:szCs w:val="20"/>
              </w:rPr>
              <w:t>-0.206</w:t>
            </w:r>
          </w:p>
        </w:tc>
        <w:tc>
          <w:tcPr>
            <w:tcW w:w="1300" w:type="dxa"/>
            <w:tcBorders>
              <w:top w:val="single" w:sz="4" w:space="0" w:color="auto"/>
            </w:tcBorders>
            <w:shd w:val="clear" w:color="auto" w:fill="auto"/>
            <w:noWrap/>
            <w:vAlign w:val="bottom"/>
            <w:hideMark/>
          </w:tcPr>
          <w:p w14:paraId="7075A266" w14:textId="77777777" w:rsidR="00A20361" w:rsidRPr="00DE6C9E" w:rsidRDefault="00A20361" w:rsidP="0048210B">
            <w:pPr>
              <w:rPr>
                <w:sz w:val="20"/>
                <w:szCs w:val="20"/>
              </w:rPr>
            </w:pPr>
            <w:r w:rsidRPr="00DE6C9E">
              <w:rPr>
                <w:sz w:val="20"/>
                <w:szCs w:val="20"/>
              </w:rPr>
              <w:t>-0.170</w:t>
            </w:r>
          </w:p>
        </w:tc>
        <w:tc>
          <w:tcPr>
            <w:tcW w:w="1300" w:type="dxa"/>
            <w:tcBorders>
              <w:top w:val="single" w:sz="4" w:space="0" w:color="auto"/>
            </w:tcBorders>
            <w:shd w:val="clear" w:color="auto" w:fill="auto"/>
            <w:noWrap/>
            <w:vAlign w:val="bottom"/>
            <w:hideMark/>
          </w:tcPr>
          <w:p w14:paraId="6BE41924" w14:textId="77777777" w:rsidR="00A20361" w:rsidRPr="00DE6C9E" w:rsidRDefault="00A20361" w:rsidP="0048210B">
            <w:pPr>
              <w:rPr>
                <w:sz w:val="20"/>
                <w:szCs w:val="20"/>
              </w:rPr>
            </w:pPr>
            <w:r w:rsidRPr="00DE6C9E">
              <w:rPr>
                <w:sz w:val="20"/>
                <w:szCs w:val="20"/>
              </w:rPr>
              <w:t>0.649</w:t>
            </w:r>
          </w:p>
        </w:tc>
        <w:tc>
          <w:tcPr>
            <w:tcW w:w="1300" w:type="dxa"/>
            <w:tcBorders>
              <w:top w:val="single" w:sz="4" w:space="0" w:color="auto"/>
            </w:tcBorders>
            <w:shd w:val="clear" w:color="auto" w:fill="auto"/>
            <w:noWrap/>
            <w:vAlign w:val="bottom"/>
            <w:hideMark/>
          </w:tcPr>
          <w:p w14:paraId="28A55E1C" w14:textId="77777777" w:rsidR="00A20361" w:rsidRPr="00DE6C9E" w:rsidRDefault="00A20361" w:rsidP="0048210B">
            <w:pPr>
              <w:rPr>
                <w:sz w:val="20"/>
                <w:szCs w:val="20"/>
              </w:rPr>
            </w:pPr>
            <w:r w:rsidRPr="00DE6C9E">
              <w:rPr>
                <w:sz w:val="20"/>
                <w:szCs w:val="20"/>
              </w:rPr>
              <w:t>0.121</w:t>
            </w:r>
          </w:p>
        </w:tc>
        <w:tc>
          <w:tcPr>
            <w:tcW w:w="1300" w:type="dxa"/>
            <w:tcBorders>
              <w:top w:val="single" w:sz="4" w:space="0" w:color="auto"/>
            </w:tcBorders>
            <w:shd w:val="clear" w:color="auto" w:fill="auto"/>
            <w:noWrap/>
            <w:vAlign w:val="bottom"/>
            <w:hideMark/>
          </w:tcPr>
          <w:p w14:paraId="6B181E87" w14:textId="77777777" w:rsidR="00A20361" w:rsidRPr="00DE6C9E" w:rsidRDefault="00A20361" w:rsidP="0048210B">
            <w:pPr>
              <w:rPr>
                <w:sz w:val="20"/>
                <w:szCs w:val="20"/>
              </w:rPr>
            </w:pPr>
            <w:r w:rsidRPr="00DE6C9E">
              <w:rPr>
                <w:sz w:val="20"/>
                <w:szCs w:val="20"/>
              </w:rPr>
              <w:t>-0.940**</w:t>
            </w:r>
          </w:p>
        </w:tc>
      </w:tr>
      <w:tr w:rsidR="00A20361" w14:paraId="2A4FDD30" w14:textId="77777777" w:rsidTr="0048210B">
        <w:trPr>
          <w:trHeight w:val="320"/>
        </w:trPr>
        <w:tc>
          <w:tcPr>
            <w:tcW w:w="2160" w:type="dxa"/>
            <w:shd w:val="clear" w:color="auto" w:fill="auto"/>
            <w:noWrap/>
            <w:vAlign w:val="bottom"/>
            <w:hideMark/>
          </w:tcPr>
          <w:p w14:paraId="28797CCF" w14:textId="77777777" w:rsidR="00A20361" w:rsidRPr="00DE6C9E" w:rsidRDefault="00A20361" w:rsidP="0048210B">
            <w:pPr>
              <w:jc w:val="center"/>
              <w:rPr>
                <w:sz w:val="20"/>
                <w:szCs w:val="20"/>
              </w:rPr>
            </w:pPr>
          </w:p>
        </w:tc>
        <w:tc>
          <w:tcPr>
            <w:tcW w:w="1389" w:type="dxa"/>
            <w:shd w:val="clear" w:color="auto" w:fill="auto"/>
            <w:noWrap/>
            <w:vAlign w:val="bottom"/>
            <w:hideMark/>
          </w:tcPr>
          <w:p w14:paraId="57B5D8AE" w14:textId="77777777" w:rsidR="00A20361" w:rsidRPr="00DE6C9E" w:rsidRDefault="00A20361" w:rsidP="0048210B">
            <w:pPr>
              <w:rPr>
                <w:sz w:val="20"/>
                <w:szCs w:val="20"/>
              </w:rPr>
            </w:pPr>
            <w:r w:rsidRPr="00DE6C9E">
              <w:rPr>
                <w:sz w:val="20"/>
                <w:szCs w:val="20"/>
              </w:rPr>
              <w:t>(0.437)</w:t>
            </w:r>
          </w:p>
        </w:tc>
        <w:tc>
          <w:tcPr>
            <w:tcW w:w="1300" w:type="dxa"/>
            <w:shd w:val="clear" w:color="auto" w:fill="auto"/>
            <w:noWrap/>
            <w:vAlign w:val="bottom"/>
            <w:hideMark/>
          </w:tcPr>
          <w:p w14:paraId="76466FFD" w14:textId="77777777" w:rsidR="00A20361" w:rsidRPr="00DE6C9E" w:rsidRDefault="00A20361" w:rsidP="0048210B">
            <w:pPr>
              <w:rPr>
                <w:sz w:val="20"/>
                <w:szCs w:val="20"/>
              </w:rPr>
            </w:pPr>
            <w:r w:rsidRPr="00DE6C9E">
              <w:rPr>
                <w:sz w:val="20"/>
                <w:szCs w:val="20"/>
              </w:rPr>
              <w:t>(0.390)</w:t>
            </w:r>
          </w:p>
        </w:tc>
        <w:tc>
          <w:tcPr>
            <w:tcW w:w="1300" w:type="dxa"/>
            <w:shd w:val="clear" w:color="auto" w:fill="auto"/>
            <w:noWrap/>
            <w:vAlign w:val="bottom"/>
            <w:hideMark/>
          </w:tcPr>
          <w:p w14:paraId="07432284" w14:textId="77777777" w:rsidR="00A20361" w:rsidRPr="00DE6C9E" w:rsidRDefault="00A20361" w:rsidP="0048210B">
            <w:pPr>
              <w:rPr>
                <w:sz w:val="20"/>
                <w:szCs w:val="20"/>
              </w:rPr>
            </w:pPr>
            <w:r w:rsidRPr="00DE6C9E">
              <w:rPr>
                <w:sz w:val="20"/>
                <w:szCs w:val="20"/>
              </w:rPr>
              <w:t>(0.442)</w:t>
            </w:r>
          </w:p>
        </w:tc>
        <w:tc>
          <w:tcPr>
            <w:tcW w:w="1300" w:type="dxa"/>
            <w:shd w:val="clear" w:color="auto" w:fill="auto"/>
            <w:noWrap/>
            <w:vAlign w:val="bottom"/>
            <w:hideMark/>
          </w:tcPr>
          <w:p w14:paraId="358FE11E" w14:textId="77777777" w:rsidR="00A20361" w:rsidRPr="00DE6C9E" w:rsidRDefault="00A20361" w:rsidP="0048210B">
            <w:pPr>
              <w:rPr>
                <w:sz w:val="20"/>
                <w:szCs w:val="20"/>
              </w:rPr>
            </w:pPr>
            <w:r w:rsidRPr="00DE6C9E">
              <w:rPr>
                <w:sz w:val="20"/>
                <w:szCs w:val="20"/>
              </w:rPr>
              <w:t>(0.121)</w:t>
            </w:r>
          </w:p>
        </w:tc>
        <w:tc>
          <w:tcPr>
            <w:tcW w:w="1300" w:type="dxa"/>
            <w:shd w:val="clear" w:color="auto" w:fill="auto"/>
            <w:noWrap/>
            <w:vAlign w:val="bottom"/>
            <w:hideMark/>
          </w:tcPr>
          <w:p w14:paraId="6BBC1A75" w14:textId="77777777" w:rsidR="00A20361" w:rsidRPr="00DE6C9E" w:rsidRDefault="00A20361" w:rsidP="0048210B">
            <w:pPr>
              <w:rPr>
                <w:sz w:val="20"/>
                <w:szCs w:val="20"/>
              </w:rPr>
            </w:pPr>
            <w:r w:rsidRPr="00DE6C9E">
              <w:rPr>
                <w:sz w:val="20"/>
                <w:szCs w:val="20"/>
              </w:rPr>
              <w:t>(0.336)</w:t>
            </w:r>
          </w:p>
        </w:tc>
      </w:tr>
      <w:tr w:rsidR="00A20361" w14:paraId="509E85E8" w14:textId="77777777" w:rsidTr="0048210B">
        <w:trPr>
          <w:trHeight w:val="320"/>
        </w:trPr>
        <w:tc>
          <w:tcPr>
            <w:tcW w:w="2160" w:type="dxa"/>
            <w:shd w:val="clear" w:color="auto" w:fill="auto"/>
            <w:noWrap/>
            <w:vAlign w:val="bottom"/>
            <w:hideMark/>
          </w:tcPr>
          <w:p w14:paraId="54E53674" w14:textId="77777777" w:rsidR="00A20361" w:rsidRPr="00DE6C9E" w:rsidRDefault="00157748" w:rsidP="0048210B">
            <w:pPr>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m:t>
                    </m:r>
                    <m:r>
                      <m:rPr>
                        <m:sty m:val="p"/>
                      </m:rPr>
                      <w:rPr>
                        <w:rFonts w:ascii="Cambria Math" w:hAnsi="Cambria Math"/>
                        <w:sz w:val="20"/>
                        <w:szCs w:val="20"/>
                      </w:rPr>
                      <m:t>,</m:t>
                    </m:r>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t</m:t>
                    </m:r>
                  </m:sub>
                </m:sSub>
              </m:oMath>
            </m:oMathPara>
          </w:p>
        </w:tc>
        <w:tc>
          <w:tcPr>
            <w:tcW w:w="1389" w:type="dxa"/>
            <w:shd w:val="clear" w:color="auto" w:fill="auto"/>
            <w:noWrap/>
            <w:vAlign w:val="bottom"/>
            <w:hideMark/>
          </w:tcPr>
          <w:p w14:paraId="7866ECEF" w14:textId="77777777" w:rsidR="00A20361" w:rsidRPr="00DE6C9E" w:rsidRDefault="00A20361" w:rsidP="0048210B">
            <w:pPr>
              <w:rPr>
                <w:sz w:val="20"/>
                <w:szCs w:val="20"/>
              </w:rPr>
            </w:pPr>
            <w:r w:rsidRPr="00DE6C9E">
              <w:rPr>
                <w:sz w:val="20"/>
                <w:szCs w:val="20"/>
              </w:rPr>
              <w:t>0.083</w:t>
            </w:r>
          </w:p>
        </w:tc>
        <w:tc>
          <w:tcPr>
            <w:tcW w:w="1300" w:type="dxa"/>
            <w:shd w:val="clear" w:color="auto" w:fill="auto"/>
            <w:noWrap/>
            <w:vAlign w:val="bottom"/>
            <w:hideMark/>
          </w:tcPr>
          <w:p w14:paraId="1F9C8323" w14:textId="77777777" w:rsidR="00A20361" w:rsidRPr="00DE6C9E" w:rsidRDefault="00A20361" w:rsidP="0048210B">
            <w:pPr>
              <w:rPr>
                <w:sz w:val="20"/>
                <w:szCs w:val="20"/>
              </w:rPr>
            </w:pPr>
            <w:r w:rsidRPr="00DE6C9E">
              <w:rPr>
                <w:sz w:val="20"/>
                <w:szCs w:val="20"/>
              </w:rPr>
              <w:t>0.051</w:t>
            </w:r>
          </w:p>
        </w:tc>
        <w:tc>
          <w:tcPr>
            <w:tcW w:w="1300" w:type="dxa"/>
            <w:shd w:val="clear" w:color="auto" w:fill="auto"/>
            <w:noWrap/>
            <w:vAlign w:val="bottom"/>
            <w:hideMark/>
          </w:tcPr>
          <w:p w14:paraId="525FA85C" w14:textId="77777777" w:rsidR="00A20361" w:rsidRPr="00DE6C9E" w:rsidRDefault="00A20361" w:rsidP="0048210B">
            <w:pPr>
              <w:rPr>
                <w:sz w:val="20"/>
                <w:szCs w:val="20"/>
              </w:rPr>
            </w:pPr>
            <w:r w:rsidRPr="00DE6C9E">
              <w:rPr>
                <w:sz w:val="20"/>
                <w:szCs w:val="20"/>
              </w:rPr>
              <w:t>0.079</w:t>
            </w:r>
          </w:p>
        </w:tc>
        <w:tc>
          <w:tcPr>
            <w:tcW w:w="1300" w:type="dxa"/>
            <w:shd w:val="clear" w:color="auto" w:fill="auto"/>
            <w:noWrap/>
            <w:vAlign w:val="bottom"/>
            <w:hideMark/>
          </w:tcPr>
          <w:p w14:paraId="3ACAB8AC" w14:textId="77777777" w:rsidR="00A20361" w:rsidRPr="00DE6C9E" w:rsidRDefault="00A20361" w:rsidP="0048210B">
            <w:pPr>
              <w:rPr>
                <w:sz w:val="20"/>
                <w:szCs w:val="20"/>
              </w:rPr>
            </w:pPr>
            <w:r w:rsidRPr="00DE6C9E">
              <w:rPr>
                <w:sz w:val="20"/>
                <w:szCs w:val="20"/>
              </w:rPr>
              <w:t>-0.052</w:t>
            </w:r>
          </w:p>
        </w:tc>
        <w:tc>
          <w:tcPr>
            <w:tcW w:w="1300" w:type="dxa"/>
            <w:shd w:val="clear" w:color="auto" w:fill="auto"/>
            <w:noWrap/>
            <w:vAlign w:val="bottom"/>
            <w:hideMark/>
          </w:tcPr>
          <w:p w14:paraId="0E1B83DE" w14:textId="77777777" w:rsidR="00A20361" w:rsidRPr="00DE6C9E" w:rsidRDefault="00A20361" w:rsidP="0048210B">
            <w:pPr>
              <w:rPr>
                <w:sz w:val="20"/>
                <w:szCs w:val="20"/>
              </w:rPr>
            </w:pPr>
            <w:r w:rsidRPr="00DE6C9E">
              <w:rPr>
                <w:sz w:val="20"/>
                <w:szCs w:val="20"/>
              </w:rPr>
              <w:t>0.023</w:t>
            </w:r>
          </w:p>
        </w:tc>
      </w:tr>
      <w:tr w:rsidR="00A20361" w14:paraId="11D67B4F" w14:textId="77777777" w:rsidTr="0048210B">
        <w:trPr>
          <w:trHeight w:val="320"/>
        </w:trPr>
        <w:tc>
          <w:tcPr>
            <w:tcW w:w="2160" w:type="dxa"/>
            <w:shd w:val="clear" w:color="auto" w:fill="auto"/>
            <w:noWrap/>
            <w:vAlign w:val="bottom"/>
            <w:hideMark/>
          </w:tcPr>
          <w:p w14:paraId="6C840034" w14:textId="77777777" w:rsidR="00A20361" w:rsidRPr="00DE6C9E" w:rsidRDefault="00A20361" w:rsidP="0048210B">
            <w:pPr>
              <w:jc w:val="center"/>
              <w:rPr>
                <w:sz w:val="20"/>
                <w:szCs w:val="20"/>
              </w:rPr>
            </w:pPr>
          </w:p>
        </w:tc>
        <w:tc>
          <w:tcPr>
            <w:tcW w:w="1389" w:type="dxa"/>
            <w:shd w:val="clear" w:color="auto" w:fill="auto"/>
            <w:noWrap/>
            <w:vAlign w:val="bottom"/>
            <w:hideMark/>
          </w:tcPr>
          <w:p w14:paraId="1F08AC73" w14:textId="77777777" w:rsidR="00A20361" w:rsidRPr="00DE6C9E" w:rsidRDefault="00A20361" w:rsidP="0048210B">
            <w:pPr>
              <w:rPr>
                <w:sz w:val="20"/>
                <w:szCs w:val="20"/>
              </w:rPr>
            </w:pPr>
            <w:r w:rsidRPr="00DE6C9E">
              <w:rPr>
                <w:sz w:val="20"/>
                <w:szCs w:val="20"/>
              </w:rPr>
              <w:t>(0.111)</w:t>
            </w:r>
          </w:p>
        </w:tc>
        <w:tc>
          <w:tcPr>
            <w:tcW w:w="1300" w:type="dxa"/>
            <w:shd w:val="clear" w:color="auto" w:fill="auto"/>
            <w:noWrap/>
            <w:vAlign w:val="bottom"/>
            <w:hideMark/>
          </w:tcPr>
          <w:p w14:paraId="2ACC7E70" w14:textId="77777777" w:rsidR="00A20361" w:rsidRPr="00DE6C9E" w:rsidRDefault="00A20361" w:rsidP="0048210B">
            <w:pPr>
              <w:rPr>
                <w:sz w:val="20"/>
                <w:szCs w:val="20"/>
              </w:rPr>
            </w:pPr>
            <w:r w:rsidRPr="00DE6C9E">
              <w:rPr>
                <w:sz w:val="20"/>
                <w:szCs w:val="20"/>
              </w:rPr>
              <w:t>(0.099)</w:t>
            </w:r>
          </w:p>
        </w:tc>
        <w:tc>
          <w:tcPr>
            <w:tcW w:w="1300" w:type="dxa"/>
            <w:shd w:val="clear" w:color="auto" w:fill="auto"/>
            <w:noWrap/>
            <w:vAlign w:val="bottom"/>
            <w:hideMark/>
          </w:tcPr>
          <w:p w14:paraId="021B4D2F" w14:textId="77777777" w:rsidR="00A20361" w:rsidRPr="00DE6C9E" w:rsidRDefault="00A20361" w:rsidP="0048210B">
            <w:pPr>
              <w:rPr>
                <w:sz w:val="20"/>
                <w:szCs w:val="20"/>
              </w:rPr>
            </w:pPr>
            <w:r w:rsidRPr="00DE6C9E">
              <w:rPr>
                <w:sz w:val="20"/>
                <w:szCs w:val="20"/>
              </w:rPr>
              <w:t>(0.099)</w:t>
            </w:r>
          </w:p>
        </w:tc>
        <w:tc>
          <w:tcPr>
            <w:tcW w:w="1300" w:type="dxa"/>
            <w:shd w:val="clear" w:color="auto" w:fill="auto"/>
            <w:noWrap/>
            <w:vAlign w:val="bottom"/>
            <w:hideMark/>
          </w:tcPr>
          <w:p w14:paraId="6C6CA3EB" w14:textId="77777777" w:rsidR="00A20361" w:rsidRPr="00DE6C9E" w:rsidRDefault="00A20361" w:rsidP="0048210B">
            <w:pPr>
              <w:rPr>
                <w:sz w:val="20"/>
                <w:szCs w:val="20"/>
              </w:rPr>
            </w:pPr>
            <w:r w:rsidRPr="00DE6C9E">
              <w:rPr>
                <w:sz w:val="20"/>
                <w:szCs w:val="20"/>
              </w:rPr>
              <w:t>(0.034)</w:t>
            </w:r>
          </w:p>
        </w:tc>
        <w:tc>
          <w:tcPr>
            <w:tcW w:w="1300" w:type="dxa"/>
            <w:shd w:val="clear" w:color="auto" w:fill="auto"/>
            <w:noWrap/>
            <w:vAlign w:val="bottom"/>
            <w:hideMark/>
          </w:tcPr>
          <w:p w14:paraId="1ED94FC8" w14:textId="77777777" w:rsidR="00A20361" w:rsidRPr="00DE6C9E" w:rsidRDefault="00A20361" w:rsidP="0048210B">
            <w:pPr>
              <w:rPr>
                <w:sz w:val="20"/>
                <w:szCs w:val="20"/>
              </w:rPr>
            </w:pPr>
            <w:r w:rsidRPr="00DE6C9E">
              <w:rPr>
                <w:sz w:val="20"/>
                <w:szCs w:val="20"/>
              </w:rPr>
              <w:t>(0.074)</w:t>
            </w:r>
          </w:p>
        </w:tc>
      </w:tr>
      <w:tr w:rsidR="00A20361" w14:paraId="43FAC3F3" w14:textId="77777777" w:rsidTr="0048210B">
        <w:trPr>
          <w:trHeight w:val="320"/>
        </w:trPr>
        <w:tc>
          <w:tcPr>
            <w:tcW w:w="2160" w:type="dxa"/>
            <w:shd w:val="clear" w:color="auto" w:fill="auto"/>
            <w:noWrap/>
            <w:vAlign w:val="bottom"/>
            <w:hideMark/>
          </w:tcPr>
          <w:p w14:paraId="6C453C65" w14:textId="77777777" w:rsidR="00A20361" w:rsidRPr="00DE6C9E" w:rsidRDefault="00157748" w:rsidP="0048210B">
            <w:pPr>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Manu%</m:t>
                    </m:r>
                  </m:e>
                  <m:sub>
                    <m:r>
                      <w:rPr>
                        <w:rFonts w:ascii="Cambria Math" w:hAnsi="Cambria Math"/>
                        <w:sz w:val="20"/>
                        <w:szCs w:val="20"/>
                      </w:rPr>
                      <m:t>d</m:t>
                    </m:r>
                  </m:sub>
                </m:sSub>
              </m:oMath>
            </m:oMathPara>
          </w:p>
        </w:tc>
        <w:tc>
          <w:tcPr>
            <w:tcW w:w="1389" w:type="dxa"/>
            <w:shd w:val="clear" w:color="auto" w:fill="auto"/>
            <w:noWrap/>
            <w:vAlign w:val="bottom"/>
            <w:hideMark/>
          </w:tcPr>
          <w:p w14:paraId="372ADF76" w14:textId="77777777" w:rsidR="00A20361" w:rsidRPr="00DE6C9E" w:rsidRDefault="00A20361" w:rsidP="0048210B">
            <w:pPr>
              <w:rPr>
                <w:sz w:val="20"/>
                <w:szCs w:val="20"/>
              </w:rPr>
            </w:pPr>
            <w:r w:rsidRPr="00DE6C9E">
              <w:rPr>
                <w:sz w:val="20"/>
                <w:szCs w:val="20"/>
              </w:rPr>
              <w:t>1.079</w:t>
            </w:r>
          </w:p>
        </w:tc>
        <w:tc>
          <w:tcPr>
            <w:tcW w:w="1300" w:type="dxa"/>
            <w:shd w:val="clear" w:color="auto" w:fill="auto"/>
            <w:noWrap/>
            <w:vAlign w:val="bottom"/>
            <w:hideMark/>
          </w:tcPr>
          <w:p w14:paraId="02CB7395" w14:textId="77777777" w:rsidR="00A20361" w:rsidRPr="00DE6C9E" w:rsidRDefault="00A20361" w:rsidP="0048210B">
            <w:pPr>
              <w:rPr>
                <w:sz w:val="20"/>
                <w:szCs w:val="20"/>
              </w:rPr>
            </w:pPr>
            <w:r w:rsidRPr="00DE6C9E">
              <w:rPr>
                <w:sz w:val="20"/>
                <w:szCs w:val="20"/>
              </w:rPr>
              <w:t>1.110</w:t>
            </w:r>
          </w:p>
        </w:tc>
        <w:tc>
          <w:tcPr>
            <w:tcW w:w="1300" w:type="dxa"/>
            <w:shd w:val="clear" w:color="auto" w:fill="auto"/>
            <w:noWrap/>
            <w:vAlign w:val="bottom"/>
            <w:hideMark/>
          </w:tcPr>
          <w:p w14:paraId="521DDA11" w14:textId="77777777" w:rsidR="00A20361" w:rsidRPr="00DE6C9E" w:rsidRDefault="00A20361" w:rsidP="0048210B">
            <w:pPr>
              <w:rPr>
                <w:sz w:val="20"/>
                <w:szCs w:val="20"/>
              </w:rPr>
            </w:pPr>
            <w:r w:rsidRPr="00DE6C9E">
              <w:rPr>
                <w:sz w:val="20"/>
                <w:szCs w:val="20"/>
              </w:rPr>
              <w:t>-2.369*</w:t>
            </w:r>
          </w:p>
        </w:tc>
        <w:tc>
          <w:tcPr>
            <w:tcW w:w="1300" w:type="dxa"/>
            <w:shd w:val="clear" w:color="auto" w:fill="auto"/>
            <w:noWrap/>
            <w:vAlign w:val="bottom"/>
            <w:hideMark/>
          </w:tcPr>
          <w:p w14:paraId="5E43AE32" w14:textId="77777777" w:rsidR="00A20361" w:rsidRPr="00DE6C9E" w:rsidRDefault="00A20361" w:rsidP="0048210B">
            <w:pPr>
              <w:rPr>
                <w:sz w:val="20"/>
                <w:szCs w:val="20"/>
              </w:rPr>
            </w:pPr>
            <w:r w:rsidRPr="00DE6C9E">
              <w:rPr>
                <w:sz w:val="20"/>
                <w:szCs w:val="20"/>
              </w:rPr>
              <w:t>-0.244</w:t>
            </w:r>
          </w:p>
        </w:tc>
        <w:tc>
          <w:tcPr>
            <w:tcW w:w="1300" w:type="dxa"/>
            <w:shd w:val="clear" w:color="auto" w:fill="auto"/>
            <w:noWrap/>
            <w:vAlign w:val="bottom"/>
            <w:hideMark/>
          </w:tcPr>
          <w:p w14:paraId="657E93D8" w14:textId="77777777" w:rsidR="00A20361" w:rsidRPr="00DE6C9E" w:rsidRDefault="00A20361" w:rsidP="0048210B">
            <w:pPr>
              <w:rPr>
                <w:sz w:val="20"/>
                <w:szCs w:val="20"/>
              </w:rPr>
            </w:pPr>
            <w:r w:rsidRPr="00DE6C9E">
              <w:rPr>
                <w:sz w:val="20"/>
                <w:szCs w:val="20"/>
              </w:rPr>
              <w:t>3.722***</w:t>
            </w:r>
          </w:p>
        </w:tc>
      </w:tr>
      <w:tr w:rsidR="00A20361" w14:paraId="7419EF6E" w14:textId="77777777" w:rsidTr="0048210B">
        <w:trPr>
          <w:trHeight w:val="320"/>
        </w:trPr>
        <w:tc>
          <w:tcPr>
            <w:tcW w:w="2160" w:type="dxa"/>
            <w:tcBorders>
              <w:bottom w:val="single" w:sz="4" w:space="0" w:color="auto"/>
            </w:tcBorders>
            <w:shd w:val="clear" w:color="auto" w:fill="auto"/>
            <w:noWrap/>
            <w:vAlign w:val="bottom"/>
            <w:hideMark/>
          </w:tcPr>
          <w:p w14:paraId="063C0C22" w14:textId="77777777" w:rsidR="00A20361" w:rsidRPr="00DE6C9E" w:rsidRDefault="00A20361" w:rsidP="0048210B">
            <w:pPr>
              <w:jc w:val="center"/>
              <w:rPr>
                <w:sz w:val="20"/>
                <w:szCs w:val="20"/>
              </w:rPr>
            </w:pPr>
          </w:p>
        </w:tc>
        <w:tc>
          <w:tcPr>
            <w:tcW w:w="1389" w:type="dxa"/>
            <w:tcBorders>
              <w:bottom w:val="single" w:sz="4" w:space="0" w:color="auto"/>
            </w:tcBorders>
            <w:shd w:val="clear" w:color="auto" w:fill="auto"/>
            <w:noWrap/>
            <w:vAlign w:val="bottom"/>
            <w:hideMark/>
          </w:tcPr>
          <w:p w14:paraId="48AA396F" w14:textId="77777777" w:rsidR="00A20361" w:rsidRPr="00DE6C9E" w:rsidRDefault="00A20361" w:rsidP="0048210B">
            <w:pPr>
              <w:rPr>
                <w:sz w:val="20"/>
                <w:szCs w:val="20"/>
              </w:rPr>
            </w:pPr>
            <w:r w:rsidRPr="00DE6C9E">
              <w:rPr>
                <w:sz w:val="20"/>
                <w:szCs w:val="20"/>
              </w:rPr>
              <w:t>(0.986)</w:t>
            </w:r>
          </w:p>
        </w:tc>
        <w:tc>
          <w:tcPr>
            <w:tcW w:w="1300" w:type="dxa"/>
            <w:tcBorders>
              <w:bottom w:val="single" w:sz="4" w:space="0" w:color="auto"/>
            </w:tcBorders>
            <w:shd w:val="clear" w:color="auto" w:fill="auto"/>
            <w:noWrap/>
            <w:vAlign w:val="bottom"/>
            <w:hideMark/>
          </w:tcPr>
          <w:p w14:paraId="456A434C" w14:textId="77777777" w:rsidR="00A20361" w:rsidRPr="00DE6C9E" w:rsidRDefault="00A20361" w:rsidP="0048210B">
            <w:pPr>
              <w:rPr>
                <w:sz w:val="20"/>
                <w:szCs w:val="20"/>
              </w:rPr>
            </w:pPr>
            <w:r w:rsidRPr="00DE6C9E">
              <w:rPr>
                <w:sz w:val="20"/>
                <w:szCs w:val="20"/>
              </w:rPr>
              <w:t>(0.865)</w:t>
            </w:r>
          </w:p>
        </w:tc>
        <w:tc>
          <w:tcPr>
            <w:tcW w:w="1300" w:type="dxa"/>
            <w:tcBorders>
              <w:bottom w:val="single" w:sz="4" w:space="0" w:color="auto"/>
            </w:tcBorders>
            <w:shd w:val="clear" w:color="auto" w:fill="auto"/>
            <w:noWrap/>
            <w:vAlign w:val="bottom"/>
            <w:hideMark/>
          </w:tcPr>
          <w:p w14:paraId="18A48AA3" w14:textId="77777777" w:rsidR="00A20361" w:rsidRPr="00DE6C9E" w:rsidRDefault="00A20361" w:rsidP="0048210B">
            <w:pPr>
              <w:rPr>
                <w:sz w:val="20"/>
                <w:szCs w:val="20"/>
              </w:rPr>
            </w:pPr>
            <w:r w:rsidRPr="00DE6C9E">
              <w:rPr>
                <w:sz w:val="20"/>
                <w:szCs w:val="20"/>
              </w:rPr>
              <w:t>(1.026)</w:t>
            </w:r>
          </w:p>
        </w:tc>
        <w:tc>
          <w:tcPr>
            <w:tcW w:w="1300" w:type="dxa"/>
            <w:tcBorders>
              <w:bottom w:val="single" w:sz="4" w:space="0" w:color="auto"/>
            </w:tcBorders>
            <w:shd w:val="clear" w:color="auto" w:fill="auto"/>
            <w:noWrap/>
            <w:vAlign w:val="bottom"/>
            <w:hideMark/>
          </w:tcPr>
          <w:p w14:paraId="7B674263" w14:textId="77777777" w:rsidR="00A20361" w:rsidRPr="00DE6C9E" w:rsidRDefault="00A20361" w:rsidP="0048210B">
            <w:pPr>
              <w:rPr>
                <w:sz w:val="20"/>
                <w:szCs w:val="20"/>
              </w:rPr>
            </w:pPr>
            <w:r w:rsidRPr="00DE6C9E">
              <w:rPr>
                <w:sz w:val="20"/>
                <w:szCs w:val="20"/>
              </w:rPr>
              <w:t>(0.240)</w:t>
            </w:r>
          </w:p>
        </w:tc>
        <w:tc>
          <w:tcPr>
            <w:tcW w:w="1300" w:type="dxa"/>
            <w:tcBorders>
              <w:bottom w:val="single" w:sz="4" w:space="0" w:color="auto"/>
            </w:tcBorders>
            <w:shd w:val="clear" w:color="auto" w:fill="auto"/>
            <w:noWrap/>
            <w:vAlign w:val="bottom"/>
            <w:hideMark/>
          </w:tcPr>
          <w:p w14:paraId="436AD27D" w14:textId="77777777" w:rsidR="00A20361" w:rsidRPr="00DE6C9E" w:rsidRDefault="00A20361" w:rsidP="0048210B">
            <w:pPr>
              <w:rPr>
                <w:sz w:val="20"/>
                <w:szCs w:val="20"/>
              </w:rPr>
            </w:pPr>
            <w:r w:rsidRPr="00DE6C9E">
              <w:rPr>
                <w:sz w:val="20"/>
                <w:szCs w:val="20"/>
              </w:rPr>
              <w:t>(0.824)</w:t>
            </w:r>
          </w:p>
        </w:tc>
      </w:tr>
      <w:tr w:rsidR="00A20361" w14:paraId="28934B57" w14:textId="77777777" w:rsidTr="0048210B">
        <w:trPr>
          <w:trHeight w:val="320"/>
        </w:trPr>
        <w:tc>
          <w:tcPr>
            <w:tcW w:w="2160" w:type="dxa"/>
            <w:tcBorders>
              <w:top w:val="single" w:sz="4" w:space="0" w:color="auto"/>
              <w:bottom w:val="nil"/>
            </w:tcBorders>
            <w:shd w:val="clear" w:color="auto" w:fill="auto"/>
            <w:noWrap/>
            <w:hideMark/>
          </w:tcPr>
          <w:p w14:paraId="22034FFD" w14:textId="77777777" w:rsidR="00A20361" w:rsidRPr="00DE6C9E" w:rsidRDefault="00A20361" w:rsidP="0048210B">
            <w:pPr>
              <w:jc w:val="center"/>
              <w:rPr>
                <w:sz w:val="20"/>
                <w:szCs w:val="20"/>
              </w:rPr>
            </w:pPr>
            <w:r w:rsidRPr="00DE6C9E">
              <w:rPr>
                <w:sz w:val="20"/>
                <w:szCs w:val="20"/>
              </w:rPr>
              <w:t>Observations</w:t>
            </w:r>
          </w:p>
        </w:tc>
        <w:tc>
          <w:tcPr>
            <w:tcW w:w="1389" w:type="dxa"/>
            <w:tcBorders>
              <w:top w:val="single" w:sz="4" w:space="0" w:color="auto"/>
              <w:bottom w:val="nil"/>
            </w:tcBorders>
            <w:shd w:val="clear" w:color="auto" w:fill="auto"/>
            <w:noWrap/>
            <w:vAlign w:val="bottom"/>
            <w:hideMark/>
          </w:tcPr>
          <w:p w14:paraId="74206EA7" w14:textId="77777777" w:rsidR="00A20361" w:rsidRPr="00DE6C9E" w:rsidRDefault="00A20361" w:rsidP="0048210B">
            <w:pPr>
              <w:rPr>
                <w:sz w:val="20"/>
                <w:szCs w:val="20"/>
              </w:rPr>
            </w:pPr>
            <w:r w:rsidRPr="00DE6C9E">
              <w:rPr>
                <w:sz w:val="20"/>
                <w:szCs w:val="20"/>
              </w:rPr>
              <w:t>9866</w:t>
            </w:r>
          </w:p>
        </w:tc>
        <w:tc>
          <w:tcPr>
            <w:tcW w:w="1300" w:type="dxa"/>
            <w:tcBorders>
              <w:top w:val="single" w:sz="4" w:space="0" w:color="auto"/>
              <w:bottom w:val="nil"/>
            </w:tcBorders>
            <w:shd w:val="clear" w:color="auto" w:fill="auto"/>
            <w:noWrap/>
            <w:vAlign w:val="bottom"/>
            <w:hideMark/>
          </w:tcPr>
          <w:p w14:paraId="1B420364" w14:textId="77777777" w:rsidR="00A20361" w:rsidRPr="00DE6C9E" w:rsidRDefault="00A20361" w:rsidP="0048210B">
            <w:pPr>
              <w:rPr>
                <w:sz w:val="20"/>
                <w:szCs w:val="20"/>
              </w:rPr>
            </w:pPr>
            <w:r w:rsidRPr="00DE6C9E">
              <w:rPr>
                <w:sz w:val="20"/>
                <w:szCs w:val="20"/>
              </w:rPr>
              <w:t>9866</w:t>
            </w:r>
          </w:p>
        </w:tc>
        <w:tc>
          <w:tcPr>
            <w:tcW w:w="1300" w:type="dxa"/>
            <w:tcBorders>
              <w:top w:val="single" w:sz="4" w:space="0" w:color="auto"/>
              <w:bottom w:val="nil"/>
            </w:tcBorders>
            <w:shd w:val="clear" w:color="auto" w:fill="auto"/>
            <w:noWrap/>
            <w:vAlign w:val="bottom"/>
            <w:hideMark/>
          </w:tcPr>
          <w:p w14:paraId="4E88DD95" w14:textId="77777777" w:rsidR="00A20361" w:rsidRPr="00DE6C9E" w:rsidRDefault="00A20361" w:rsidP="0048210B">
            <w:pPr>
              <w:rPr>
                <w:sz w:val="20"/>
                <w:szCs w:val="20"/>
              </w:rPr>
            </w:pPr>
            <w:r w:rsidRPr="00DE6C9E">
              <w:rPr>
                <w:sz w:val="20"/>
                <w:szCs w:val="20"/>
              </w:rPr>
              <w:t>9866</w:t>
            </w:r>
          </w:p>
        </w:tc>
        <w:tc>
          <w:tcPr>
            <w:tcW w:w="1300" w:type="dxa"/>
            <w:tcBorders>
              <w:top w:val="single" w:sz="4" w:space="0" w:color="auto"/>
              <w:bottom w:val="nil"/>
            </w:tcBorders>
            <w:shd w:val="clear" w:color="auto" w:fill="auto"/>
            <w:noWrap/>
            <w:vAlign w:val="bottom"/>
            <w:hideMark/>
          </w:tcPr>
          <w:p w14:paraId="73A97731" w14:textId="77777777" w:rsidR="00A20361" w:rsidRPr="00DE6C9E" w:rsidRDefault="00A20361" w:rsidP="0048210B">
            <w:pPr>
              <w:rPr>
                <w:sz w:val="20"/>
                <w:szCs w:val="20"/>
              </w:rPr>
            </w:pPr>
            <w:r w:rsidRPr="00DE6C9E">
              <w:rPr>
                <w:sz w:val="20"/>
                <w:szCs w:val="20"/>
              </w:rPr>
              <w:t>9866</w:t>
            </w:r>
          </w:p>
        </w:tc>
        <w:tc>
          <w:tcPr>
            <w:tcW w:w="1300" w:type="dxa"/>
            <w:tcBorders>
              <w:top w:val="single" w:sz="4" w:space="0" w:color="auto"/>
              <w:bottom w:val="nil"/>
            </w:tcBorders>
            <w:shd w:val="clear" w:color="auto" w:fill="auto"/>
            <w:noWrap/>
            <w:vAlign w:val="bottom"/>
            <w:hideMark/>
          </w:tcPr>
          <w:p w14:paraId="474E7961" w14:textId="77777777" w:rsidR="00A20361" w:rsidRPr="00DE6C9E" w:rsidRDefault="00A20361" w:rsidP="0048210B">
            <w:pPr>
              <w:rPr>
                <w:sz w:val="20"/>
                <w:szCs w:val="20"/>
              </w:rPr>
            </w:pPr>
            <w:r w:rsidRPr="00DE6C9E">
              <w:rPr>
                <w:sz w:val="20"/>
                <w:szCs w:val="20"/>
              </w:rPr>
              <w:t>9866</w:t>
            </w:r>
          </w:p>
        </w:tc>
      </w:tr>
      <w:tr w:rsidR="00A20361" w14:paraId="0BCBBE20" w14:textId="77777777" w:rsidTr="0048210B">
        <w:trPr>
          <w:trHeight w:val="320"/>
        </w:trPr>
        <w:tc>
          <w:tcPr>
            <w:tcW w:w="2160" w:type="dxa"/>
            <w:tcBorders>
              <w:top w:val="nil"/>
            </w:tcBorders>
            <w:shd w:val="clear" w:color="auto" w:fill="auto"/>
            <w:noWrap/>
            <w:hideMark/>
          </w:tcPr>
          <w:p w14:paraId="35BE1EEC" w14:textId="77777777" w:rsidR="00A20361" w:rsidRPr="00DE6C9E" w:rsidRDefault="00A20361" w:rsidP="0048210B">
            <w:pPr>
              <w:jc w:val="center"/>
              <w:rPr>
                <w:sz w:val="20"/>
                <w:szCs w:val="20"/>
              </w:rPr>
            </w:pPr>
            <w:r w:rsidRPr="00DE6C9E">
              <w:rPr>
                <w:sz w:val="20"/>
                <w:szCs w:val="20"/>
              </w:rPr>
              <w:t>R-squared</w:t>
            </w:r>
          </w:p>
        </w:tc>
        <w:tc>
          <w:tcPr>
            <w:tcW w:w="1389" w:type="dxa"/>
            <w:tcBorders>
              <w:top w:val="nil"/>
            </w:tcBorders>
            <w:shd w:val="clear" w:color="auto" w:fill="auto"/>
            <w:noWrap/>
            <w:vAlign w:val="bottom"/>
            <w:hideMark/>
          </w:tcPr>
          <w:p w14:paraId="59B5272A" w14:textId="77777777" w:rsidR="00A20361" w:rsidRPr="00DE6C9E" w:rsidRDefault="00A20361" w:rsidP="0048210B">
            <w:pPr>
              <w:rPr>
                <w:sz w:val="20"/>
                <w:szCs w:val="20"/>
              </w:rPr>
            </w:pPr>
            <w:r w:rsidRPr="00DE6C9E">
              <w:rPr>
                <w:sz w:val="20"/>
                <w:szCs w:val="20"/>
              </w:rPr>
              <w:t>0.130</w:t>
            </w:r>
          </w:p>
        </w:tc>
        <w:tc>
          <w:tcPr>
            <w:tcW w:w="1300" w:type="dxa"/>
            <w:tcBorders>
              <w:top w:val="nil"/>
            </w:tcBorders>
            <w:shd w:val="clear" w:color="auto" w:fill="auto"/>
            <w:noWrap/>
            <w:vAlign w:val="bottom"/>
            <w:hideMark/>
          </w:tcPr>
          <w:p w14:paraId="15AC5186" w14:textId="77777777" w:rsidR="00A20361" w:rsidRPr="00DE6C9E" w:rsidRDefault="00A20361" w:rsidP="0048210B">
            <w:pPr>
              <w:rPr>
                <w:sz w:val="20"/>
                <w:szCs w:val="20"/>
              </w:rPr>
            </w:pPr>
            <w:r w:rsidRPr="00DE6C9E">
              <w:rPr>
                <w:sz w:val="20"/>
                <w:szCs w:val="20"/>
              </w:rPr>
              <w:t>0.155</w:t>
            </w:r>
          </w:p>
        </w:tc>
        <w:tc>
          <w:tcPr>
            <w:tcW w:w="1300" w:type="dxa"/>
            <w:tcBorders>
              <w:top w:val="nil"/>
            </w:tcBorders>
            <w:shd w:val="clear" w:color="auto" w:fill="auto"/>
            <w:noWrap/>
            <w:vAlign w:val="bottom"/>
            <w:hideMark/>
          </w:tcPr>
          <w:p w14:paraId="0EC03E4D" w14:textId="77777777" w:rsidR="00A20361" w:rsidRPr="00DE6C9E" w:rsidRDefault="00A20361" w:rsidP="0048210B">
            <w:pPr>
              <w:rPr>
                <w:sz w:val="20"/>
                <w:szCs w:val="20"/>
              </w:rPr>
            </w:pPr>
            <w:r w:rsidRPr="00DE6C9E">
              <w:rPr>
                <w:sz w:val="20"/>
                <w:szCs w:val="20"/>
              </w:rPr>
              <w:t>0.050</w:t>
            </w:r>
          </w:p>
        </w:tc>
        <w:tc>
          <w:tcPr>
            <w:tcW w:w="1300" w:type="dxa"/>
            <w:tcBorders>
              <w:top w:val="nil"/>
            </w:tcBorders>
            <w:shd w:val="clear" w:color="auto" w:fill="auto"/>
            <w:noWrap/>
            <w:vAlign w:val="bottom"/>
            <w:hideMark/>
          </w:tcPr>
          <w:p w14:paraId="0022C16E" w14:textId="77777777" w:rsidR="00A20361" w:rsidRPr="00DE6C9E" w:rsidRDefault="00A20361" w:rsidP="0048210B">
            <w:pPr>
              <w:rPr>
                <w:sz w:val="20"/>
                <w:szCs w:val="20"/>
              </w:rPr>
            </w:pPr>
            <w:r w:rsidRPr="00DE6C9E">
              <w:rPr>
                <w:sz w:val="20"/>
                <w:szCs w:val="20"/>
              </w:rPr>
              <w:t>0.185</w:t>
            </w:r>
          </w:p>
        </w:tc>
        <w:tc>
          <w:tcPr>
            <w:tcW w:w="1300" w:type="dxa"/>
            <w:tcBorders>
              <w:top w:val="nil"/>
            </w:tcBorders>
            <w:shd w:val="clear" w:color="auto" w:fill="auto"/>
            <w:noWrap/>
            <w:vAlign w:val="bottom"/>
            <w:hideMark/>
          </w:tcPr>
          <w:p w14:paraId="506347F1" w14:textId="77777777" w:rsidR="00A20361" w:rsidRPr="00DE6C9E" w:rsidRDefault="00A20361" w:rsidP="0048210B">
            <w:pPr>
              <w:rPr>
                <w:sz w:val="20"/>
                <w:szCs w:val="20"/>
              </w:rPr>
            </w:pPr>
            <w:r w:rsidRPr="00DE6C9E">
              <w:rPr>
                <w:sz w:val="20"/>
                <w:szCs w:val="20"/>
              </w:rPr>
              <w:t>0.221</w:t>
            </w:r>
          </w:p>
        </w:tc>
      </w:tr>
    </w:tbl>
    <w:p w14:paraId="5B5964A7" w14:textId="77777777" w:rsidR="00DE6C9E" w:rsidRPr="00DE6C9E" w:rsidRDefault="00A20361" w:rsidP="00DE6C9E">
      <w:pPr>
        <w:jc w:val="both"/>
        <w:rPr>
          <w:rFonts w:ascii="Times" w:hAnsi="Times" w:cs="Times"/>
          <w:color w:val="000000"/>
          <w:sz w:val="21"/>
          <w:szCs w:val="21"/>
        </w:rPr>
      </w:pPr>
      <w:r w:rsidRPr="00DE6C9E">
        <w:rPr>
          <w:rFonts w:ascii="Times" w:hAnsi="Times" w:cs="Times"/>
          <w:color w:val="000000"/>
          <w:sz w:val="21"/>
          <w:szCs w:val="21"/>
        </w:rPr>
        <w:t>Notes: All regressions include the full vectors of control variables from column (5) of Table 3</w:t>
      </w:r>
      <w:r w:rsidRPr="00DE6C9E">
        <w:rPr>
          <w:rFonts w:ascii="Times" w:hAnsi="Times" w:cs="Times" w:hint="eastAsia"/>
          <w:color w:val="000000"/>
          <w:sz w:val="21"/>
          <w:szCs w:val="21"/>
        </w:rPr>
        <w:t xml:space="preserve"> but at school district level</w:t>
      </w:r>
      <w:r w:rsidRPr="00DE6C9E">
        <w:rPr>
          <w:rFonts w:ascii="Times" w:hAnsi="Times" w:cs="Times"/>
          <w:color w:val="000000"/>
          <w:sz w:val="21"/>
          <w:szCs w:val="21"/>
        </w:rPr>
        <w:t xml:space="preserve">. Robust standard errors in parentheses are clustered on state level. Models are weighted by start of period </w:t>
      </w:r>
      <w:r w:rsidRPr="00DE6C9E">
        <w:rPr>
          <w:rFonts w:ascii="Times" w:hAnsi="Times" w:cs="Times" w:hint="eastAsia"/>
          <w:color w:val="000000"/>
          <w:sz w:val="21"/>
          <w:szCs w:val="21"/>
        </w:rPr>
        <w:t>school district</w:t>
      </w:r>
      <w:r w:rsidRPr="00DE6C9E">
        <w:rPr>
          <w:rFonts w:ascii="Times" w:hAnsi="Times" w:cs="Times"/>
          <w:color w:val="000000"/>
          <w:sz w:val="21"/>
          <w:szCs w:val="21"/>
        </w:rPr>
        <w:t xml:space="preserve"> share of national population. </w:t>
      </w:r>
      <w:r w:rsidR="00DE6C9E" w:rsidRPr="00DE6C9E">
        <w:rPr>
          <w:rFonts w:ascii="Times" w:hAnsi="Times" w:cs="Times"/>
          <w:color w:val="000000"/>
          <w:sz w:val="21"/>
          <w:szCs w:val="21"/>
        </w:rPr>
        <w:t>* p&lt;0.05, ** p&lt;0.01, *** p&lt;0.001</w:t>
      </w:r>
    </w:p>
    <w:p w14:paraId="1AD07150" w14:textId="0F7745BE" w:rsidR="00A20361" w:rsidRPr="005B294B" w:rsidRDefault="00A20361" w:rsidP="00A20361">
      <w:pPr>
        <w:widowControl w:val="0"/>
        <w:autoSpaceDE w:val="0"/>
        <w:autoSpaceDN w:val="0"/>
        <w:adjustRightInd w:val="0"/>
        <w:spacing w:after="240"/>
        <w:jc w:val="both"/>
        <w:rPr>
          <w:rFonts w:ascii="Times" w:hAnsi="Times" w:cs="Times"/>
          <w:i/>
          <w:iCs/>
          <w:color w:val="000000"/>
          <w:sz w:val="21"/>
          <w:szCs w:val="21"/>
        </w:rPr>
      </w:pPr>
    </w:p>
    <w:p w14:paraId="4997DCA2" w14:textId="77777777" w:rsidR="00A20361" w:rsidRDefault="00A20361" w:rsidP="00A20361">
      <w:pPr>
        <w:rPr>
          <w:rFonts w:ascii="Times" w:hAnsi="Times" w:cs="Times"/>
          <w:color w:val="000000"/>
        </w:rPr>
      </w:pPr>
      <w:r>
        <w:rPr>
          <w:rFonts w:ascii="Times" w:hAnsi="Times" w:cs="Times"/>
          <w:color w:val="000000"/>
        </w:rPr>
        <w:br w:type="page"/>
      </w:r>
    </w:p>
    <w:p w14:paraId="61F81322" w14:textId="105BDC15" w:rsidR="00A20361" w:rsidRPr="00841E1D" w:rsidRDefault="00A20361" w:rsidP="00A20361">
      <w:pPr>
        <w:rPr>
          <w:rFonts w:ascii="Times" w:hAnsi="Times" w:cs="Times"/>
          <w:b/>
          <w:bCs/>
          <w:color w:val="000000"/>
        </w:rPr>
      </w:pPr>
      <w:r w:rsidRPr="00841E1D">
        <w:rPr>
          <w:rFonts w:ascii="Times" w:hAnsi="Times" w:cs="Times"/>
          <w:b/>
          <w:bCs/>
          <w:color w:val="000000"/>
        </w:rPr>
        <w:lastRenderedPageBreak/>
        <w:t xml:space="preserve">Table 10 </w:t>
      </w:r>
      <w:r w:rsidRPr="00841E1D">
        <w:rPr>
          <w:rFonts w:ascii="Times" w:hAnsi="Times" w:cs="Times" w:hint="eastAsia"/>
          <w:b/>
          <w:bCs/>
          <w:color w:val="000000"/>
        </w:rPr>
        <w:t>F</w:t>
      </w:r>
      <w:r w:rsidRPr="00841E1D">
        <w:rPr>
          <w:rFonts w:ascii="Times" w:hAnsi="Times" w:cs="Times"/>
          <w:b/>
          <w:bCs/>
          <w:color w:val="000000"/>
        </w:rPr>
        <w:t xml:space="preserve">alsification </w:t>
      </w:r>
      <w:r w:rsidRPr="00841E1D">
        <w:rPr>
          <w:rFonts w:ascii="Times" w:hAnsi="Times" w:cs="Times" w:hint="eastAsia"/>
          <w:b/>
          <w:bCs/>
          <w:color w:val="000000"/>
        </w:rPr>
        <w:t>Test</w:t>
      </w:r>
    </w:p>
    <w:p w14:paraId="0502E8DB" w14:textId="77777777" w:rsidR="00A20361" w:rsidRPr="00066D1F" w:rsidRDefault="00A20361" w:rsidP="00A20361">
      <w:pPr>
        <w:rPr>
          <w:rFonts w:ascii="Times" w:hAnsi="Times" w:cs="Times"/>
          <w:color w:val="000000"/>
        </w:rPr>
      </w:pPr>
    </w:p>
    <w:tbl>
      <w:tblPr>
        <w:tblW w:w="9360" w:type="dxa"/>
        <w:tblBorders>
          <w:top w:val="single" w:sz="4" w:space="0" w:color="auto"/>
          <w:bottom w:val="single" w:sz="4" w:space="0" w:color="auto"/>
        </w:tblBorders>
        <w:tblLook w:val="04A0" w:firstRow="1" w:lastRow="0" w:firstColumn="1" w:lastColumn="0" w:noHBand="0" w:noVBand="1"/>
      </w:tblPr>
      <w:tblGrid>
        <w:gridCol w:w="3050"/>
        <w:gridCol w:w="1910"/>
        <w:gridCol w:w="1100"/>
        <w:gridCol w:w="1100"/>
        <w:gridCol w:w="1100"/>
        <w:gridCol w:w="1100"/>
      </w:tblGrid>
      <w:tr w:rsidR="00A20361" w:rsidRPr="00066D1F" w14:paraId="1C656DBF" w14:textId="77777777" w:rsidTr="0048210B">
        <w:trPr>
          <w:trHeight w:val="320"/>
        </w:trPr>
        <w:tc>
          <w:tcPr>
            <w:tcW w:w="3057" w:type="dxa"/>
            <w:tcBorders>
              <w:top w:val="single" w:sz="4" w:space="0" w:color="auto"/>
              <w:bottom w:val="nil"/>
            </w:tcBorders>
            <w:shd w:val="clear" w:color="auto" w:fill="auto"/>
            <w:noWrap/>
            <w:vAlign w:val="bottom"/>
            <w:hideMark/>
          </w:tcPr>
          <w:p w14:paraId="5BABC371" w14:textId="77777777" w:rsidR="00A20361" w:rsidRPr="00DE6C9E" w:rsidRDefault="00A20361" w:rsidP="0048210B">
            <w:pPr>
              <w:rPr>
                <w:sz w:val="20"/>
                <w:szCs w:val="20"/>
              </w:rPr>
            </w:pPr>
          </w:p>
        </w:tc>
        <w:tc>
          <w:tcPr>
            <w:tcW w:w="1895" w:type="dxa"/>
            <w:tcBorders>
              <w:top w:val="single" w:sz="4" w:space="0" w:color="auto"/>
              <w:bottom w:val="nil"/>
            </w:tcBorders>
            <w:shd w:val="clear" w:color="auto" w:fill="auto"/>
            <w:noWrap/>
            <w:hideMark/>
          </w:tcPr>
          <w:p w14:paraId="6775B47E" w14:textId="77777777" w:rsidR="00A20361" w:rsidRPr="00DE6C9E" w:rsidRDefault="00A20361" w:rsidP="0048210B">
            <w:pPr>
              <w:pStyle w:val="ListParagraph"/>
              <w:numPr>
                <w:ilvl w:val="0"/>
                <w:numId w:val="4"/>
              </w:numPr>
              <w:rPr>
                <w:sz w:val="20"/>
                <w:szCs w:val="20"/>
              </w:rPr>
            </w:pPr>
            <m:oMath>
              <m:r>
                <m:rPr>
                  <m:sty m:val="p"/>
                </m:rPr>
                <w:rPr>
                  <w:rFonts w:ascii="Cambria Math" w:hAnsi="Cambria Math"/>
                  <w:sz w:val="20"/>
                  <w:szCs w:val="20"/>
                </w:rPr>
                <m:t>∆</m:t>
              </m:r>
            </m:oMath>
            <w:r w:rsidRPr="00DE6C9E">
              <w:rPr>
                <w:sz w:val="20"/>
                <w:szCs w:val="20"/>
              </w:rPr>
              <w:t>Total Expenditure</w:t>
            </w:r>
          </w:p>
          <w:p w14:paraId="299A3BF0" w14:textId="77777777" w:rsidR="00A20361" w:rsidRPr="00DE6C9E" w:rsidRDefault="00A20361" w:rsidP="0048210B">
            <w:pPr>
              <w:pStyle w:val="ListParagraph"/>
              <w:rPr>
                <w:sz w:val="20"/>
                <w:szCs w:val="20"/>
              </w:rPr>
            </w:pPr>
            <w:r w:rsidRPr="00DE6C9E">
              <w:rPr>
                <w:sz w:val="20"/>
                <w:szCs w:val="20"/>
              </w:rPr>
              <w:t xml:space="preserve">(1990-2000)     </w:t>
            </w:r>
          </w:p>
        </w:tc>
        <w:tc>
          <w:tcPr>
            <w:tcW w:w="1102" w:type="dxa"/>
            <w:tcBorders>
              <w:top w:val="single" w:sz="4" w:space="0" w:color="auto"/>
              <w:bottom w:val="nil"/>
            </w:tcBorders>
            <w:shd w:val="clear" w:color="auto" w:fill="auto"/>
            <w:noWrap/>
            <w:hideMark/>
          </w:tcPr>
          <w:p w14:paraId="1CFA2AD3" w14:textId="77777777" w:rsidR="00A20361" w:rsidRPr="00DE6C9E" w:rsidRDefault="00A20361" w:rsidP="0048210B">
            <w:pPr>
              <w:rPr>
                <w:sz w:val="20"/>
                <w:szCs w:val="20"/>
              </w:rPr>
            </w:pPr>
            <w:r w:rsidRPr="00DE6C9E">
              <w:rPr>
                <w:sz w:val="20"/>
                <w:szCs w:val="20"/>
              </w:rPr>
              <w:t xml:space="preserve">(2)                  </w:t>
            </w:r>
            <m:oMath>
              <m:r>
                <m:rPr>
                  <m:sty m:val="p"/>
                </m:rPr>
                <w:rPr>
                  <w:rFonts w:ascii="Cambria Math" w:hAnsi="Cambria Math"/>
                  <w:sz w:val="20"/>
                  <w:szCs w:val="20"/>
                </w:rPr>
                <m:t>∆</m:t>
              </m:r>
            </m:oMath>
            <w:r w:rsidRPr="00DE6C9E">
              <w:rPr>
                <w:sz w:val="20"/>
                <w:szCs w:val="20"/>
              </w:rPr>
              <w:t xml:space="preserve">Total Revenue (1990-2000)           </w:t>
            </w:r>
          </w:p>
        </w:tc>
        <w:tc>
          <w:tcPr>
            <w:tcW w:w="1102" w:type="dxa"/>
            <w:tcBorders>
              <w:top w:val="single" w:sz="4" w:space="0" w:color="auto"/>
              <w:bottom w:val="nil"/>
            </w:tcBorders>
            <w:shd w:val="clear" w:color="auto" w:fill="auto"/>
            <w:noWrap/>
            <w:hideMark/>
          </w:tcPr>
          <w:p w14:paraId="4449A2D0"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m:oMath>
              <m:r>
                <m:rPr>
                  <m:sty m:val="p"/>
                </m:rPr>
                <w:rPr>
                  <w:rFonts w:ascii="Cambria Math" w:hAnsi="Cambria Math"/>
                  <w:sz w:val="20"/>
                  <w:szCs w:val="20"/>
                </w:rPr>
                <m:t xml:space="preserve"> </m:t>
              </m:r>
            </m:oMath>
          </w:p>
          <w:p w14:paraId="57F7EE50" w14:textId="77777777" w:rsidR="00A20361" w:rsidRPr="00DE6C9E" w:rsidRDefault="00A20361" w:rsidP="0048210B">
            <w:pPr>
              <w:rPr>
                <w:sz w:val="20"/>
                <w:szCs w:val="20"/>
              </w:rPr>
            </w:pPr>
            <m:oMath>
              <m:r>
                <m:rPr>
                  <m:sty m:val="p"/>
                </m:rPr>
                <w:rPr>
                  <w:rFonts w:ascii="Cambria Math" w:hAnsi="Cambria Math"/>
                  <w:sz w:val="20"/>
                  <w:szCs w:val="20"/>
                </w:rPr>
                <m:t>∆</m:t>
              </m:r>
            </m:oMath>
            <w:r w:rsidRPr="00DE6C9E">
              <w:rPr>
                <w:sz w:val="20"/>
                <w:szCs w:val="20"/>
              </w:rPr>
              <w:t xml:space="preserve">Local Revenue (1990-2000)           </w:t>
            </w:r>
          </w:p>
        </w:tc>
        <w:tc>
          <w:tcPr>
            <w:tcW w:w="1102" w:type="dxa"/>
            <w:tcBorders>
              <w:top w:val="single" w:sz="4" w:space="0" w:color="auto"/>
              <w:bottom w:val="nil"/>
            </w:tcBorders>
            <w:shd w:val="clear" w:color="auto" w:fill="auto"/>
            <w:noWrap/>
            <w:hideMark/>
          </w:tcPr>
          <w:p w14:paraId="5D7E4A5A"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(4)</w:t>
            </w:r>
            <m:oMath>
              <m:r>
                <m:rPr>
                  <m:sty m:val="p"/>
                </m:rPr>
                <w:rPr>
                  <w:rFonts w:ascii="Cambria Math" w:hAnsi="Cambria Math"/>
                  <w:sz w:val="20"/>
                  <w:szCs w:val="20"/>
                </w:rPr>
                <m:t xml:space="preserve"> </m:t>
              </m:r>
            </m:oMath>
          </w:p>
          <w:p w14:paraId="50F74FFC" w14:textId="77777777" w:rsidR="00A20361" w:rsidRPr="00DE6C9E" w:rsidRDefault="00A20361" w:rsidP="0048210B">
            <w:pPr>
              <w:rPr>
                <w:sz w:val="20"/>
                <w:szCs w:val="20"/>
              </w:rPr>
            </w:pPr>
            <m:oMath>
              <m:r>
                <m:rPr>
                  <m:sty m:val="p"/>
                </m:rPr>
                <w:rPr>
                  <w:rFonts w:ascii="Cambria Math" w:hAnsi="Cambria Math"/>
                  <w:sz w:val="20"/>
                  <w:szCs w:val="20"/>
                </w:rPr>
                <m:t>∆</m:t>
              </m:r>
            </m:oMath>
            <w:r w:rsidRPr="00DE6C9E">
              <w:rPr>
                <w:sz w:val="20"/>
                <w:szCs w:val="20"/>
              </w:rPr>
              <w:t xml:space="preserve">Federal Revenue (1990-2000)              </w:t>
            </w:r>
          </w:p>
        </w:tc>
        <w:tc>
          <w:tcPr>
            <w:tcW w:w="1102" w:type="dxa"/>
            <w:tcBorders>
              <w:top w:val="single" w:sz="4" w:space="0" w:color="auto"/>
              <w:bottom w:val="nil"/>
            </w:tcBorders>
            <w:shd w:val="clear" w:color="auto" w:fill="auto"/>
            <w:noWrap/>
            <w:hideMark/>
          </w:tcPr>
          <w:p w14:paraId="3AC468F7"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(5)</w:t>
            </w:r>
          </w:p>
          <w:p w14:paraId="1BFB8D38" w14:textId="77777777" w:rsidR="00A20361" w:rsidRPr="00DE6C9E" w:rsidRDefault="00A20361" w:rsidP="0048210B">
            <w:pPr>
              <w:rPr>
                <w:sz w:val="20"/>
                <w:szCs w:val="20"/>
              </w:rPr>
            </w:pPr>
            <m:oMath>
              <m:r>
                <m:rPr>
                  <m:sty m:val="p"/>
                </m:rPr>
                <w:rPr>
                  <w:rFonts w:ascii="Cambria Math" w:hAnsi="Cambria Math"/>
                  <w:sz w:val="20"/>
                  <w:szCs w:val="20"/>
                </w:rPr>
                <m:t xml:space="preserve"> ∆</m:t>
              </m:r>
            </m:oMath>
            <w:r w:rsidRPr="00DE6C9E">
              <w:rPr>
                <w:sz w:val="20"/>
                <w:szCs w:val="20"/>
              </w:rPr>
              <w:t xml:space="preserve">State Revenue (1990-2000)           </w:t>
            </w:r>
          </w:p>
        </w:tc>
      </w:tr>
      <w:tr w:rsidR="00A20361" w:rsidRPr="00066D1F" w14:paraId="580729C4" w14:textId="77777777" w:rsidTr="0048210B">
        <w:trPr>
          <w:trHeight w:val="320"/>
        </w:trPr>
        <w:tc>
          <w:tcPr>
            <w:tcW w:w="3057" w:type="dxa"/>
            <w:tcBorders>
              <w:top w:val="single" w:sz="4" w:space="0" w:color="auto"/>
            </w:tcBorders>
            <w:shd w:val="clear" w:color="auto" w:fill="auto"/>
            <w:noWrap/>
            <w:vAlign w:val="bottom"/>
            <w:hideMark/>
          </w:tcPr>
          <w:p w14:paraId="7A2FE80A" w14:textId="77777777" w:rsidR="00A20361" w:rsidRPr="00DE6C9E" w:rsidRDefault="00157748" w:rsidP="0048210B">
            <w:pP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r>
                  <m:rPr>
                    <m:sty m:val="p"/>
                  </m:rPr>
                  <w:rPr>
                    <w:rFonts w:ascii="Cambria Math" w:hAnsi="Cambria Math"/>
                    <w:sz w:val="20"/>
                    <w:szCs w:val="20"/>
                  </w:rPr>
                  <m:t xml:space="preserve"> </m:t>
                </m:r>
                <m:r>
                  <w:rPr>
                    <w:rFonts w:ascii="Cambria Math" w:hAnsi="Cambria Math"/>
                    <w:sz w:val="20"/>
                    <w:szCs w:val="20"/>
                  </w:rPr>
                  <m:t>Future</m:t>
                </m:r>
              </m:oMath>
            </m:oMathPara>
          </w:p>
          <w:p w14:paraId="1AE5B58E" w14:textId="77777777" w:rsidR="00A20361" w:rsidRPr="00DE6C9E" w:rsidRDefault="00A20361" w:rsidP="0048210B">
            <w:pPr>
              <w:rPr>
                <w:sz w:val="20"/>
                <w:szCs w:val="20"/>
              </w:rPr>
            </w:pPr>
            <m:oMathPara>
              <m:oMath>
                <m:r>
                  <m:rPr>
                    <m:sty m:val="p"/>
                  </m:rPr>
                  <w:rPr>
                    <w:rFonts w:ascii="Cambria Math" w:hAnsi="Cambria Math"/>
                    <w:sz w:val="20"/>
                    <w:szCs w:val="20"/>
                  </w:rPr>
                  <m:t>(2000-2007)</m:t>
                </m:r>
              </m:oMath>
            </m:oMathPara>
          </w:p>
        </w:tc>
        <w:tc>
          <w:tcPr>
            <w:tcW w:w="1895" w:type="dxa"/>
            <w:tcBorders>
              <w:top w:val="single" w:sz="4" w:space="0" w:color="auto"/>
            </w:tcBorders>
            <w:shd w:val="clear" w:color="auto" w:fill="auto"/>
            <w:noWrap/>
            <w:vAlign w:val="bottom"/>
            <w:hideMark/>
          </w:tcPr>
          <w:p w14:paraId="7972CE0B" w14:textId="77777777" w:rsidR="00A20361" w:rsidRPr="00DE6C9E" w:rsidRDefault="00A20361" w:rsidP="0048210B">
            <w:pPr>
              <w:jc w:val="center"/>
              <w:rPr>
                <w:sz w:val="20"/>
                <w:szCs w:val="20"/>
              </w:rPr>
            </w:pPr>
            <w:r w:rsidRPr="00DE6C9E">
              <w:rPr>
                <w:sz w:val="20"/>
                <w:szCs w:val="20"/>
              </w:rPr>
              <w:t>-0.01</w:t>
            </w:r>
          </w:p>
        </w:tc>
        <w:tc>
          <w:tcPr>
            <w:tcW w:w="1102" w:type="dxa"/>
            <w:tcBorders>
              <w:top w:val="single" w:sz="4" w:space="0" w:color="auto"/>
            </w:tcBorders>
            <w:shd w:val="clear" w:color="auto" w:fill="auto"/>
            <w:noWrap/>
            <w:vAlign w:val="bottom"/>
            <w:hideMark/>
          </w:tcPr>
          <w:p w14:paraId="44576472" w14:textId="77777777" w:rsidR="00A20361" w:rsidRPr="00DE6C9E" w:rsidRDefault="00A20361" w:rsidP="0048210B">
            <w:pPr>
              <w:rPr>
                <w:sz w:val="20"/>
                <w:szCs w:val="20"/>
              </w:rPr>
            </w:pPr>
            <w:r w:rsidRPr="00DE6C9E">
              <w:rPr>
                <w:sz w:val="20"/>
                <w:szCs w:val="20"/>
              </w:rPr>
              <w:t>-0.06</w:t>
            </w:r>
          </w:p>
        </w:tc>
        <w:tc>
          <w:tcPr>
            <w:tcW w:w="1102" w:type="dxa"/>
            <w:tcBorders>
              <w:top w:val="single" w:sz="4" w:space="0" w:color="auto"/>
            </w:tcBorders>
            <w:shd w:val="clear" w:color="auto" w:fill="auto"/>
            <w:noWrap/>
            <w:vAlign w:val="bottom"/>
            <w:hideMark/>
          </w:tcPr>
          <w:p w14:paraId="67B54B58" w14:textId="77777777" w:rsidR="00A20361" w:rsidRPr="00DE6C9E" w:rsidRDefault="00A20361" w:rsidP="0048210B">
            <w:pPr>
              <w:rPr>
                <w:sz w:val="20"/>
                <w:szCs w:val="20"/>
              </w:rPr>
            </w:pPr>
            <w:r w:rsidRPr="00DE6C9E">
              <w:rPr>
                <w:sz w:val="20"/>
                <w:szCs w:val="20"/>
              </w:rPr>
              <w:t>0.33</w:t>
            </w:r>
          </w:p>
        </w:tc>
        <w:tc>
          <w:tcPr>
            <w:tcW w:w="1102" w:type="dxa"/>
            <w:tcBorders>
              <w:top w:val="single" w:sz="4" w:space="0" w:color="auto"/>
            </w:tcBorders>
            <w:shd w:val="clear" w:color="auto" w:fill="auto"/>
            <w:noWrap/>
            <w:vAlign w:val="bottom"/>
            <w:hideMark/>
          </w:tcPr>
          <w:p w14:paraId="31185852" w14:textId="77777777" w:rsidR="00A20361" w:rsidRPr="00DE6C9E" w:rsidRDefault="00A20361" w:rsidP="0048210B">
            <w:pPr>
              <w:rPr>
                <w:sz w:val="20"/>
                <w:szCs w:val="20"/>
              </w:rPr>
            </w:pPr>
            <w:r w:rsidRPr="00DE6C9E">
              <w:rPr>
                <w:sz w:val="20"/>
                <w:szCs w:val="20"/>
              </w:rPr>
              <w:t>-0.01</w:t>
            </w:r>
          </w:p>
        </w:tc>
        <w:tc>
          <w:tcPr>
            <w:tcW w:w="1102" w:type="dxa"/>
            <w:tcBorders>
              <w:top w:val="single" w:sz="4" w:space="0" w:color="auto"/>
            </w:tcBorders>
            <w:shd w:val="clear" w:color="auto" w:fill="auto"/>
            <w:noWrap/>
            <w:vAlign w:val="bottom"/>
            <w:hideMark/>
          </w:tcPr>
          <w:p w14:paraId="0E01041B" w14:textId="77777777" w:rsidR="00A20361" w:rsidRPr="00DE6C9E" w:rsidRDefault="00A20361" w:rsidP="0048210B">
            <w:pPr>
              <w:rPr>
                <w:sz w:val="20"/>
                <w:szCs w:val="20"/>
              </w:rPr>
            </w:pPr>
            <w:r w:rsidRPr="00DE6C9E">
              <w:rPr>
                <w:sz w:val="20"/>
                <w:szCs w:val="20"/>
              </w:rPr>
              <w:t>-0.38</w:t>
            </w:r>
          </w:p>
        </w:tc>
      </w:tr>
      <w:tr w:rsidR="00A20361" w:rsidRPr="00066D1F" w14:paraId="64170007" w14:textId="77777777" w:rsidTr="0048210B">
        <w:trPr>
          <w:trHeight w:val="320"/>
        </w:trPr>
        <w:tc>
          <w:tcPr>
            <w:tcW w:w="3057" w:type="dxa"/>
            <w:tcBorders>
              <w:bottom w:val="single" w:sz="4" w:space="0" w:color="auto"/>
            </w:tcBorders>
            <w:shd w:val="clear" w:color="auto" w:fill="auto"/>
            <w:noWrap/>
            <w:vAlign w:val="bottom"/>
            <w:hideMark/>
          </w:tcPr>
          <w:p w14:paraId="25DA399E" w14:textId="77777777" w:rsidR="00A20361" w:rsidRPr="00DE6C9E" w:rsidRDefault="00A20361" w:rsidP="0048210B">
            <w:pPr>
              <w:rPr>
                <w:sz w:val="20"/>
                <w:szCs w:val="20"/>
              </w:rPr>
            </w:pPr>
          </w:p>
        </w:tc>
        <w:tc>
          <w:tcPr>
            <w:tcW w:w="1895" w:type="dxa"/>
            <w:tcBorders>
              <w:bottom w:val="single" w:sz="4" w:space="0" w:color="auto"/>
            </w:tcBorders>
            <w:shd w:val="clear" w:color="auto" w:fill="auto"/>
            <w:noWrap/>
            <w:vAlign w:val="bottom"/>
            <w:hideMark/>
          </w:tcPr>
          <w:p w14:paraId="3FE12E14" w14:textId="77777777" w:rsidR="00A20361" w:rsidRPr="00DE6C9E" w:rsidRDefault="00A20361" w:rsidP="0048210B">
            <w:pPr>
              <w:jc w:val="center"/>
              <w:rPr>
                <w:sz w:val="20"/>
                <w:szCs w:val="20"/>
              </w:rPr>
            </w:pPr>
            <w:r w:rsidRPr="00DE6C9E">
              <w:rPr>
                <w:sz w:val="20"/>
                <w:szCs w:val="20"/>
              </w:rPr>
              <w:t>(0.10)</w:t>
            </w:r>
          </w:p>
        </w:tc>
        <w:tc>
          <w:tcPr>
            <w:tcW w:w="1102" w:type="dxa"/>
            <w:tcBorders>
              <w:bottom w:val="single" w:sz="4" w:space="0" w:color="auto"/>
            </w:tcBorders>
            <w:shd w:val="clear" w:color="auto" w:fill="auto"/>
            <w:noWrap/>
            <w:vAlign w:val="bottom"/>
            <w:hideMark/>
          </w:tcPr>
          <w:p w14:paraId="3CB17A46" w14:textId="77777777" w:rsidR="00A20361" w:rsidRPr="00DE6C9E" w:rsidRDefault="00A20361" w:rsidP="0048210B">
            <w:pPr>
              <w:rPr>
                <w:sz w:val="20"/>
                <w:szCs w:val="20"/>
              </w:rPr>
            </w:pPr>
            <w:r w:rsidRPr="00DE6C9E">
              <w:rPr>
                <w:sz w:val="20"/>
                <w:szCs w:val="20"/>
              </w:rPr>
              <w:t>(0.07)</w:t>
            </w:r>
          </w:p>
        </w:tc>
        <w:tc>
          <w:tcPr>
            <w:tcW w:w="1102" w:type="dxa"/>
            <w:tcBorders>
              <w:bottom w:val="single" w:sz="4" w:space="0" w:color="auto"/>
            </w:tcBorders>
            <w:shd w:val="clear" w:color="auto" w:fill="auto"/>
            <w:noWrap/>
            <w:vAlign w:val="bottom"/>
            <w:hideMark/>
          </w:tcPr>
          <w:p w14:paraId="7FACB46E" w14:textId="77777777" w:rsidR="00A20361" w:rsidRPr="00DE6C9E" w:rsidRDefault="00A20361" w:rsidP="0048210B">
            <w:pPr>
              <w:rPr>
                <w:sz w:val="20"/>
                <w:szCs w:val="20"/>
              </w:rPr>
            </w:pPr>
            <w:r w:rsidRPr="00DE6C9E">
              <w:rPr>
                <w:sz w:val="20"/>
                <w:szCs w:val="20"/>
              </w:rPr>
              <w:t>(0.20)</w:t>
            </w:r>
          </w:p>
        </w:tc>
        <w:tc>
          <w:tcPr>
            <w:tcW w:w="1102" w:type="dxa"/>
            <w:tcBorders>
              <w:bottom w:val="single" w:sz="4" w:space="0" w:color="auto"/>
            </w:tcBorders>
            <w:shd w:val="clear" w:color="auto" w:fill="auto"/>
            <w:noWrap/>
            <w:vAlign w:val="bottom"/>
            <w:hideMark/>
          </w:tcPr>
          <w:p w14:paraId="1F92DA79" w14:textId="77777777" w:rsidR="00A20361" w:rsidRPr="00DE6C9E" w:rsidRDefault="00A20361" w:rsidP="0048210B">
            <w:pPr>
              <w:rPr>
                <w:sz w:val="20"/>
                <w:szCs w:val="20"/>
              </w:rPr>
            </w:pPr>
            <w:r w:rsidRPr="00DE6C9E">
              <w:rPr>
                <w:sz w:val="20"/>
                <w:szCs w:val="20"/>
              </w:rPr>
              <w:t>(0.01)</w:t>
            </w:r>
          </w:p>
        </w:tc>
        <w:tc>
          <w:tcPr>
            <w:tcW w:w="1102" w:type="dxa"/>
            <w:tcBorders>
              <w:bottom w:val="single" w:sz="4" w:space="0" w:color="auto"/>
            </w:tcBorders>
            <w:shd w:val="clear" w:color="auto" w:fill="auto"/>
            <w:noWrap/>
            <w:vAlign w:val="bottom"/>
            <w:hideMark/>
          </w:tcPr>
          <w:p w14:paraId="5FD406D5" w14:textId="77777777" w:rsidR="00A20361" w:rsidRPr="00DE6C9E" w:rsidRDefault="00A20361" w:rsidP="0048210B">
            <w:pPr>
              <w:rPr>
                <w:sz w:val="20"/>
                <w:szCs w:val="20"/>
              </w:rPr>
            </w:pPr>
            <w:r w:rsidRPr="00DE6C9E">
              <w:rPr>
                <w:sz w:val="20"/>
                <w:szCs w:val="20"/>
              </w:rPr>
              <w:t>(0.21)</w:t>
            </w:r>
          </w:p>
        </w:tc>
      </w:tr>
      <w:tr w:rsidR="00A20361" w:rsidRPr="00066D1F" w14:paraId="5C58EAD9" w14:textId="77777777" w:rsidTr="0048210B">
        <w:trPr>
          <w:trHeight w:val="320"/>
        </w:trPr>
        <w:tc>
          <w:tcPr>
            <w:tcW w:w="3057" w:type="dxa"/>
            <w:tcBorders>
              <w:top w:val="single" w:sz="4" w:space="0" w:color="auto"/>
              <w:bottom w:val="nil"/>
            </w:tcBorders>
            <w:shd w:val="clear" w:color="auto" w:fill="auto"/>
            <w:noWrap/>
            <w:hideMark/>
          </w:tcPr>
          <w:p w14:paraId="616906E6" w14:textId="77777777" w:rsidR="00A20361" w:rsidRPr="00DE6C9E" w:rsidRDefault="00A20361" w:rsidP="0048210B">
            <w:pPr>
              <w:rPr>
                <w:sz w:val="20"/>
                <w:szCs w:val="20"/>
              </w:rPr>
            </w:pPr>
            <w:r w:rsidRPr="00DE6C9E">
              <w:rPr>
                <w:sz w:val="20"/>
                <w:szCs w:val="20"/>
              </w:rPr>
              <w:t>Average Dependent Variable</w:t>
            </w:r>
          </w:p>
        </w:tc>
        <w:tc>
          <w:tcPr>
            <w:tcW w:w="1895" w:type="dxa"/>
            <w:tcBorders>
              <w:top w:val="single" w:sz="4" w:space="0" w:color="auto"/>
              <w:bottom w:val="nil"/>
            </w:tcBorders>
            <w:shd w:val="clear" w:color="auto" w:fill="auto"/>
            <w:noWrap/>
            <w:vAlign w:val="bottom"/>
            <w:hideMark/>
          </w:tcPr>
          <w:p w14:paraId="153A9726" w14:textId="77777777" w:rsidR="00A20361" w:rsidRPr="00DE6C9E" w:rsidRDefault="00A20361" w:rsidP="0048210B">
            <w:pPr>
              <w:jc w:val="center"/>
              <w:rPr>
                <w:sz w:val="20"/>
                <w:szCs w:val="20"/>
              </w:rPr>
            </w:pPr>
            <w:r w:rsidRPr="00DE6C9E">
              <w:rPr>
                <w:sz w:val="20"/>
                <w:szCs w:val="20"/>
              </w:rPr>
              <w:t>2.23</w:t>
            </w:r>
          </w:p>
        </w:tc>
        <w:tc>
          <w:tcPr>
            <w:tcW w:w="1102" w:type="dxa"/>
            <w:tcBorders>
              <w:top w:val="single" w:sz="4" w:space="0" w:color="auto"/>
              <w:bottom w:val="nil"/>
            </w:tcBorders>
            <w:shd w:val="clear" w:color="auto" w:fill="auto"/>
            <w:noWrap/>
            <w:vAlign w:val="bottom"/>
            <w:hideMark/>
          </w:tcPr>
          <w:p w14:paraId="03C54E5F" w14:textId="77777777" w:rsidR="00A20361" w:rsidRPr="00DE6C9E" w:rsidRDefault="00A20361" w:rsidP="0048210B">
            <w:pPr>
              <w:rPr>
                <w:sz w:val="20"/>
                <w:szCs w:val="20"/>
              </w:rPr>
            </w:pPr>
            <w:r w:rsidRPr="00DE6C9E">
              <w:rPr>
                <w:sz w:val="20"/>
                <w:szCs w:val="20"/>
              </w:rPr>
              <w:t>2.24</w:t>
            </w:r>
          </w:p>
        </w:tc>
        <w:tc>
          <w:tcPr>
            <w:tcW w:w="1102" w:type="dxa"/>
            <w:tcBorders>
              <w:top w:val="single" w:sz="4" w:space="0" w:color="auto"/>
              <w:bottom w:val="nil"/>
            </w:tcBorders>
            <w:shd w:val="clear" w:color="auto" w:fill="auto"/>
            <w:noWrap/>
            <w:vAlign w:val="bottom"/>
            <w:hideMark/>
          </w:tcPr>
          <w:p w14:paraId="435C4384" w14:textId="77777777" w:rsidR="00A20361" w:rsidRPr="00DE6C9E" w:rsidRDefault="00A20361" w:rsidP="0048210B">
            <w:pPr>
              <w:rPr>
                <w:sz w:val="20"/>
                <w:szCs w:val="20"/>
              </w:rPr>
            </w:pPr>
            <w:r w:rsidRPr="00DE6C9E">
              <w:rPr>
                <w:sz w:val="20"/>
                <w:szCs w:val="20"/>
              </w:rPr>
              <w:t>0.48</w:t>
            </w:r>
          </w:p>
        </w:tc>
        <w:tc>
          <w:tcPr>
            <w:tcW w:w="1102" w:type="dxa"/>
            <w:tcBorders>
              <w:top w:val="single" w:sz="4" w:space="0" w:color="auto"/>
              <w:bottom w:val="nil"/>
            </w:tcBorders>
            <w:shd w:val="clear" w:color="auto" w:fill="auto"/>
            <w:noWrap/>
            <w:vAlign w:val="bottom"/>
            <w:hideMark/>
          </w:tcPr>
          <w:p w14:paraId="4596F0DA" w14:textId="77777777" w:rsidR="00A20361" w:rsidRPr="00DE6C9E" w:rsidRDefault="00A20361" w:rsidP="0048210B">
            <w:pPr>
              <w:rPr>
                <w:sz w:val="20"/>
                <w:szCs w:val="20"/>
              </w:rPr>
            </w:pPr>
            <w:r w:rsidRPr="00DE6C9E">
              <w:rPr>
                <w:sz w:val="20"/>
                <w:szCs w:val="20"/>
              </w:rPr>
              <w:t>0.24</w:t>
            </w:r>
          </w:p>
        </w:tc>
        <w:tc>
          <w:tcPr>
            <w:tcW w:w="1102" w:type="dxa"/>
            <w:tcBorders>
              <w:top w:val="single" w:sz="4" w:space="0" w:color="auto"/>
              <w:bottom w:val="nil"/>
            </w:tcBorders>
            <w:shd w:val="clear" w:color="auto" w:fill="auto"/>
            <w:noWrap/>
            <w:vAlign w:val="bottom"/>
            <w:hideMark/>
          </w:tcPr>
          <w:p w14:paraId="4AA2A320" w14:textId="77777777" w:rsidR="00A20361" w:rsidRPr="00DE6C9E" w:rsidRDefault="00A20361" w:rsidP="0048210B">
            <w:pPr>
              <w:rPr>
                <w:sz w:val="20"/>
                <w:szCs w:val="20"/>
              </w:rPr>
            </w:pPr>
            <w:r w:rsidRPr="00DE6C9E">
              <w:rPr>
                <w:sz w:val="20"/>
                <w:szCs w:val="20"/>
              </w:rPr>
              <w:t>1.53</w:t>
            </w:r>
          </w:p>
        </w:tc>
      </w:tr>
      <w:tr w:rsidR="00A20361" w:rsidRPr="00066D1F" w14:paraId="6F84AD7A" w14:textId="77777777" w:rsidTr="0048210B">
        <w:trPr>
          <w:trHeight w:val="320"/>
        </w:trPr>
        <w:tc>
          <w:tcPr>
            <w:tcW w:w="3057" w:type="dxa"/>
            <w:tcBorders>
              <w:top w:val="nil"/>
              <w:bottom w:val="nil"/>
            </w:tcBorders>
            <w:shd w:val="clear" w:color="auto" w:fill="auto"/>
            <w:noWrap/>
            <w:hideMark/>
          </w:tcPr>
          <w:p w14:paraId="5A367A12" w14:textId="77777777" w:rsidR="00A20361" w:rsidRPr="00DE6C9E" w:rsidRDefault="00A20361" w:rsidP="0048210B">
            <w:pPr>
              <w:rPr>
                <w:sz w:val="20"/>
                <w:szCs w:val="20"/>
              </w:rPr>
            </w:pPr>
            <w:r w:rsidRPr="00DE6C9E">
              <w:rPr>
                <w:sz w:val="20"/>
                <w:szCs w:val="20"/>
              </w:rPr>
              <w:t>Observations</w:t>
            </w:r>
          </w:p>
        </w:tc>
        <w:tc>
          <w:tcPr>
            <w:tcW w:w="1895" w:type="dxa"/>
            <w:tcBorders>
              <w:top w:val="nil"/>
              <w:bottom w:val="nil"/>
            </w:tcBorders>
            <w:shd w:val="clear" w:color="auto" w:fill="auto"/>
            <w:noWrap/>
            <w:vAlign w:val="bottom"/>
            <w:hideMark/>
          </w:tcPr>
          <w:p w14:paraId="76F5EC50" w14:textId="77777777" w:rsidR="00A20361" w:rsidRPr="00DE6C9E" w:rsidRDefault="00A20361" w:rsidP="0048210B">
            <w:pPr>
              <w:jc w:val="center"/>
              <w:rPr>
                <w:sz w:val="20"/>
                <w:szCs w:val="20"/>
              </w:rPr>
            </w:pPr>
            <w:r w:rsidRPr="00DE6C9E">
              <w:rPr>
                <w:sz w:val="20"/>
                <w:szCs w:val="20"/>
              </w:rPr>
              <w:t>722.00</w:t>
            </w:r>
          </w:p>
        </w:tc>
        <w:tc>
          <w:tcPr>
            <w:tcW w:w="1102" w:type="dxa"/>
            <w:tcBorders>
              <w:top w:val="nil"/>
              <w:bottom w:val="nil"/>
            </w:tcBorders>
            <w:shd w:val="clear" w:color="auto" w:fill="auto"/>
            <w:noWrap/>
            <w:vAlign w:val="bottom"/>
            <w:hideMark/>
          </w:tcPr>
          <w:p w14:paraId="5377A8DB" w14:textId="77777777" w:rsidR="00A20361" w:rsidRPr="00DE6C9E" w:rsidRDefault="00A20361" w:rsidP="0048210B">
            <w:pPr>
              <w:rPr>
                <w:sz w:val="20"/>
                <w:szCs w:val="20"/>
              </w:rPr>
            </w:pPr>
            <w:r w:rsidRPr="00DE6C9E">
              <w:rPr>
                <w:sz w:val="20"/>
                <w:szCs w:val="20"/>
              </w:rPr>
              <w:t>722.00</w:t>
            </w:r>
          </w:p>
        </w:tc>
        <w:tc>
          <w:tcPr>
            <w:tcW w:w="1102" w:type="dxa"/>
            <w:tcBorders>
              <w:top w:val="nil"/>
              <w:bottom w:val="nil"/>
            </w:tcBorders>
            <w:shd w:val="clear" w:color="auto" w:fill="auto"/>
            <w:noWrap/>
            <w:vAlign w:val="bottom"/>
            <w:hideMark/>
          </w:tcPr>
          <w:p w14:paraId="3095B3B3" w14:textId="77777777" w:rsidR="00A20361" w:rsidRPr="00DE6C9E" w:rsidRDefault="00A20361" w:rsidP="0048210B">
            <w:pPr>
              <w:rPr>
                <w:sz w:val="20"/>
                <w:szCs w:val="20"/>
              </w:rPr>
            </w:pPr>
            <w:r w:rsidRPr="00DE6C9E">
              <w:rPr>
                <w:sz w:val="20"/>
                <w:szCs w:val="20"/>
              </w:rPr>
              <w:t>722.00</w:t>
            </w:r>
          </w:p>
        </w:tc>
        <w:tc>
          <w:tcPr>
            <w:tcW w:w="1102" w:type="dxa"/>
            <w:tcBorders>
              <w:top w:val="nil"/>
              <w:bottom w:val="nil"/>
            </w:tcBorders>
            <w:shd w:val="clear" w:color="auto" w:fill="auto"/>
            <w:noWrap/>
            <w:vAlign w:val="bottom"/>
            <w:hideMark/>
          </w:tcPr>
          <w:p w14:paraId="7A1BA135" w14:textId="77777777" w:rsidR="00A20361" w:rsidRPr="00DE6C9E" w:rsidRDefault="00A20361" w:rsidP="0048210B">
            <w:pPr>
              <w:rPr>
                <w:sz w:val="20"/>
                <w:szCs w:val="20"/>
              </w:rPr>
            </w:pPr>
            <w:r w:rsidRPr="00DE6C9E">
              <w:rPr>
                <w:sz w:val="20"/>
                <w:szCs w:val="20"/>
              </w:rPr>
              <w:t>722.00</w:t>
            </w:r>
          </w:p>
        </w:tc>
        <w:tc>
          <w:tcPr>
            <w:tcW w:w="1102" w:type="dxa"/>
            <w:tcBorders>
              <w:top w:val="nil"/>
              <w:bottom w:val="nil"/>
            </w:tcBorders>
            <w:shd w:val="clear" w:color="auto" w:fill="auto"/>
            <w:noWrap/>
            <w:vAlign w:val="bottom"/>
            <w:hideMark/>
          </w:tcPr>
          <w:p w14:paraId="11045D87" w14:textId="77777777" w:rsidR="00A20361" w:rsidRPr="00DE6C9E" w:rsidRDefault="00A20361" w:rsidP="0048210B">
            <w:pPr>
              <w:rPr>
                <w:sz w:val="20"/>
                <w:szCs w:val="20"/>
              </w:rPr>
            </w:pPr>
            <w:r w:rsidRPr="00DE6C9E">
              <w:rPr>
                <w:sz w:val="20"/>
                <w:szCs w:val="20"/>
              </w:rPr>
              <w:t>722.00</w:t>
            </w:r>
          </w:p>
        </w:tc>
      </w:tr>
      <w:tr w:rsidR="00A20361" w:rsidRPr="00066D1F" w14:paraId="28072C83" w14:textId="77777777" w:rsidTr="0048210B">
        <w:trPr>
          <w:trHeight w:val="320"/>
        </w:trPr>
        <w:tc>
          <w:tcPr>
            <w:tcW w:w="3057" w:type="dxa"/>
            <w:tcBorders>
              <w:top w:val="nil"/>
              <w:bottom w:val="single" w:sz="4" w:space="0" w:color="auto"/>
            </w:tcBorders>
            <w:shd w:val="clear" w:color="auto" w:fill="auto"/>
            <w:noWrap/>
            <w:hideMark/>
          </w:tcPr>
          <w:p w14:paraId="50000C51" w14:textId="77777777" w:rsidR="00A20361" w:rsidRPr="00DE6C9E" w:rsidRDefault="00A20361" w:rsidP="0048210B">
            <w:pPr>
              <w:rPr>
                <w:sz w:val="20"/>
                <w:szCs w:val="20"/>
              </w:rPr>
            </w:pPr>
            <w:r w:rsidRPr="00DE6C9E">
              <w:rPr>
                <w:sz w:val="20"/>
                <w:szCs w:val="20"/>
              </w:rPr>
              <w:t>R-squared</w:t>
            </w:r>
          </w:p>
        </w:tc>
        <w:tc>
          <w:tcPr>
            <w:tcW w:w="1895" w:type="dxa"/>
            <w:tcBorders>
              <w:top w:val="nil"/>
              <w:bottom w:val="single" w:sz="4" w:space="0" w:color="auto"/>
            </w:tcBorders>
            <w:shd w:val="clear" w:color="auto" w:fill="auto"/>
            <w:noWrap/>
            <w:vAlign w:val="bottom"/>
            <w:hideMark/>
          </w:tcPr>
          <w:p w14:paraId="2CE567F4" w14:textId="77777777" w:rsidR="00A20361" w:rsidRPr="00DE6C9E" w:rsidRDefault="00A20361" w:rsidP="0048210B">
            <w:pPr>
              <w:jc w:val="center"/>
              <w:rPr>
                <w:sz w:val="20"/>
                <w:szCs w:val="20"/>
              </w:rPr>
            </w:pPr>
            <w:r w:rsidRPr="00DE6C9E">
              <w:rPr>
                <w:sz w:val="20"/>
                <w:szCs w:val="20"/>
              </w:rPr>
              <w:t>0.43</w:t>
            </w:r>
          </w:p>
        </w:tc>
        <w:tc>
          <w:tcPr>
            <w:tcW w:w="1102" w:type="dxa"/>
            <w:tcBorders>
              <w:top w:val="nil"/>
              <w:bottom w:val="single" w:sz="4" w:space="0" w:color="auto"/>
            </w:tcBorders>
            <w:shd w:val="clear" w:color="auto" w:fill="auto"/>
            <w:noWrap/>
            <w:vAlign w:val="bottom"/>
            <w:hideMark/>
          </w:tcPr>
          <w:p w14:paraId="77D1BE06" w14:textId="77777777" w:rsidR="00A20361" w:rsidRPr="00DE6C9E" w:rsidRDefault="00A20361" w:rsidP="0048210B">
            <w:pPr>
              <w:rPr>
                <w:sz w:val="20"/>
                <w:szCs w:val="20"/>
              </w:rPr>
            </w:pPr>
            <w:r w:rsidRPr="00DE6C9E">
              <w:rPr>
                <w:sz w:val="20"/>
                <w:szCs w:val="20"/>
              </w:rPr>
              <w:t>0.46</w:t>
            </w:r>
          </w:p>
        </w:tc>
        <w:tc>
          <w:tcPr>
            <w:tcW w:w="1102" w:type="dxa"/>
            <w:tcBorders>
              <w:top w:val="nil"/>
              <w:bottom w:val="single" w:sz="4" w:space="0" w:color="auto"/>
            </w:tcBorders>
            <w:shd w:val="clear" w:color="auto" w:fill="auto"/>
            <w:noWrap/>
            <w:vAlign w:val="bottom"/>
            <w:hideMark/>
          </w:tcPr>
          <w:p w14:paraId="4473E9D6" w14:textId="77777777" w:rsidR="00A20361" w:rsidRPr="00DE6C9E" w:rsidRDefault="00A20361" w:rsidP="0048210B">
            <w:pPr>
              <w:rPr>
                <w:sz w:val="20"/>
                <w:szCs w:val="20"/>
              </w:rPr>
            </w:pPr>
            <w:r w:rsidRPr="00DE6C9E">
              <w:rPr>
                <w:sz w:val="20"/>
                <w:szCs w:val="20"/>
              </w:rPr>
              <w:t>0.26</w:t>
            </w:r>
          </w:p>
        </w:tc>
        <w:tc>
          <w:tcPr>
            <w:tcW w:w="1102" w:type="dxa"/>
            <w:tcBorders>
              <w:top w:val="nil"/>
              <w:bottom w:val="single" w:sz="4" w:space="0" w:color="auto"/>
            </w:tcBorders>
            <w:shd w:val="clear" w:color="auto" w:fill="auto"/>
            <w:noWrap/>
            <w:vAlign w:val="bottom"/>
            <w:hideMark/>
          </w:tcPr>
          <w:p w14:paraId="2DDE81BF" w14:textId="77777777" w:rsidR="00A20361" w:rsidRPr="00DE6C9E" w:rsidRDefault="00A20361" w:rsidP="0048210B">
            <w:pPr>
              <w:rPr>
                <w:sz w:val="20"/>
                <w:szCs w:val="20"/>
              </w:rPr>
            </w:pPr>
            <w:r w:rsidRPr="00DE6C9E">
              <w:rPr>
                <w:sz w:val="20"/>
                <w:szCs w:val="20"/>
              </w:rPr>
              <w:t>0.35</w:t>
            </w:r>
          </w:p>
        </w:tc>
        <w:tc>
          <w:tcPr>
            <w:tcW w:w="1102" w:type="dxa"/>
            <w:tcBorders>
              <w:top w:val="nil"/>
              <w:bottom w:val="single" w:sz="4" w:space="0" w:color="auto"/>
            </w:tcBorders>
            <w:shd w:val="clear" w:color="auto" w:fill="auto"/>
            <w:noWrap/>
            <w:vAlign w:val="bottom"/>
            <w:hideMark/>
          </w:tcPr>
          <w:p w14:paraId="4C244F68" w14:textId="77777777" w:rsidR="00A20361" w:rsidRPr="00DE6C9E" w:rsidRDefault="00A20361" w:rsidP="0048210B">
            <w:pPr>
              <w:rPr>
                <w:sz w:val="20"/>
                <w:szCs w:val="20"/>
              </w:rPr>
            </w:pPr>
            <w:r w:rsidRPr="00DE6C9E">
              <w:rPr>
                <w:sz w:val="20"/>
                <w:szCs w:val="20"/>
              </w:rPr>
              <w:t>0.38</w:t>
            </w:r>
          </w:p>
        </w:tc>
      </w:tr>
    </w:tbl>
    <w:p w14:paraId="2CFB6432" w14:textId="77777777" w:rsidR="00DE6C9E" w:rsidRPr="00DE6C9E" w:rsidRDefault="00A20361" w:rsidP="00DE6C9E">
      <w:pPr>
        <w:jc w:val="both"/>
        <w:rPr>
          <w:rFonts w:ascii="Times" w:hAnsi="Times" w:cs="Times"/>
          <w:color w:val="000000"/>
          <w:sz w:val="21"/>
          <w:szCs w:val="21"/>
        </w:rPr>
      </w:pPr>
      <w:r w:rsidRPr="00DE6C9E">
        <w:rPr>
          <w:rFonts w:ascii="Times" w:hAnsi="Times" w:cs="Times"/>
          <w:color w:val="000000"/>
          <w:sz w:val="21"/>
          <w:szCs w:val="21"/>
        </w:rPr>
        <w:t xml:space="preserve">Notes: All regressions include the full vectors of control variables from column (5) of Table 3 except the time fixed effects. Robust standard errors in parentheses are clustered on CZ. Models are weighted by start of period CZ share of national population. </w:t>
      </w:r>
      <w:r w:rsidR="00DE6C9E" w:rsidRPr="00DE6C9E">
        <w:rPr>
          <w:rFonts w:ascii="Times" w:hAnsi="Times" w:cs="Times"/>
          <w:color w:val="000000"/>
          <w:sz w:val="21"/>
          <w:szCs w:val="21"/>
        </w:rPr>
        <w:t>* p&lt;0.05, ** p&lt;0.01, *** p&lt;0.001</w:t>
      </w:r>
    </w:p>
    <w:p w14:paraId="61C37B78" w14:textId="433FA26A" w:rsidR="00A20361" w:rsidRDefault="00A20361" w:rsidP="00A20361">
      <w:pPr>
        <w:widowControl w:val="0"/>
        <w:autoSpaceDE w:val="0"/>
        <w:autoSpaceDN w:val="0"/>
        <w:adjustRightInd w:val="0"/>
        <w:spacing w:after="240"/>
        <w:rPr>
          <w:rFonts w:ascii="Times" w:hAnsi="Times" w:cs="Times"/>
          <w:i/>
          <w:iCs/>
          <w:color w:val="000000"/>
          <w:sz w:val="21"/>
          <w:szCs w:val="21"/>
        </w:rPr>
      </w:pPr>
    </w:p>
    <w:p w14:paraId="23649837" w14:textId="77777777" w:rsidR="00A20361" w:rsidRDefault="00A20361" w:rsidP="00A20361">
      <w:pPr>
        <w:rPr>
          <w:rFonts w:ascii="Times" w:hAnsi="Times" w:cs="Times"/>
          <w:color w:val="000000"/>
        </w:rPr>
      </w:pPr>
    </w:p>
    <w:p w14:paraId="653045DA" w14:textId="77777777" w:rsidR="00A20361" w:rsidRDefault="00A20361" w:rsidP="00A20361">
      <w:pPr>
        <w:rPr>
          <w:rFonts w:ascii="Times" w:hAnsi="Times" w:cs="Times"/>
          <w:color w:val="000000"/>
        </w:rPr>
      </w:pPr>
    </w:p>
    <w:p w14:paraId="07F4AE2A" w14:textId="79676F42" w:rsidR="00A20361" w:rsidRPr="00841E1D" w:rsidRDefault="00A20361" w:rsidP="00A20361">
      <w:pPr>
        <w:rPr>
          <w:rFonts w:ascii="Times" w:hAnsi="Times" w:cs="Times"/>
          <w:b/>
          <w:bCs/>
          <w:color w:val="000000"/>
        </w:rPr>
      </w:pPr>
      <w:r w:rsidRPr="00841E1D">
        <w:rPr>
          <w:rFonts w:ascii="Times" w:hAnsi="Times" w:cs="Times"/>
          <w:b/>
          <w:bCs/>
          <w:color w:val="000000"/>
        </w:rPr>
        <w:t xml:space="preserve">Table 11 </w:t>
      </w:r>
      <w:r w:rsidRPr="00841E1D">
        <w:rPr>
          <w:rFonts w:ascii="Times" w:hAnsi="Times" w:cs="Times" w:hint="eastAsia"/>
          <w:b/>
          <w:bCs/>
          <w:color w:val="000000"/>
        </w:rPr>
        <w:t>Test</w:t>
      </w:r>
      <w:r w:rsidRPr="00841E1D">
        <w:rPr>
          <w:rFonts w:ascii="Times" w:hAnsi="Times" w:cs="Times"/>
          <w:b/>
          <w:bCs/>
          <w:color w:val="000000"/>
        </w:rPr>
        <w:t xml:space="preserve"> of Migration, Changes in Fall Enrol</w:t>
      </w:r>
      <w:r w:rsidR="00DB7C09" w:rsidRPr="00841E1D">
        <w:rPr>
          <w:rFonts w:ascii="Times" w:hAnsi="Times" w:cs="Times"/>
          <w:b/>
          <w:bCs/>
          <w:color w:val="000000"/>
        </w:rPr>
        <w:t>l</w:t>
      </w:r>
      <w:r w:rsidRPr="00841E1D">
        <w:rPr>
          <w:rFonts w:ascii="Times" w:hAnsi="Times" w:cs="Times"/>
          <w:b/>
          <w:bCs/>
          <w:color w:val="000000"/>
        </w:rPr>
        <w:t>ment (measured in thousand</w:t>
      </w:r>
      <w:r w:rsidR="00DB7C09" w:rsidRPr="00841E1D">
        <w:rPr>
          <w:rFonts w:ascii="Times" w:hAnsi="Times" w:cs="Times"/>
          <w:b/>
          <w:bCs/>
          <w:color w:val="000000"/>
        </w:rPr>
        <w:t>s of students</w:t>
      </w:r>
      <w:r w:rsidRPr="00841E1D">
        <w:rPr>
          <w:rFonts w:ascii="Times" w:hAnsi="Times" w:cs="Times"/>
          <w:b/>
          <w:bCs/>
          <w:color w:val="000000"/>
        </w:rPr>
        <w:t>)</w:t>
      </w:r>
    </w:p>
    <w:p w14:paraId="50CA3F4C" w14:textId="77777777" w:rsidR="00A20361" w:rsidRDefault="00A20361" w:rsidP="00A20361">
      <w:pPr>
        <w:rPr>
          <w:rFonts w:ascii="Times" w:hAnsi="Times" w:cs="Times"/>
          <w:color w:val="000000"/>
        </w:rPr>
      </w:pPr>
    </w:p>
    <w:tbl>
      <w:tblPr>
        <w:tblW w:w="9450" w:type="dxa"/>
        <w:jc w:val="center"/>
        <w:tblLayout w:type="fixed"/>
        <w:tblCellMar>
          <w:left w:w="75" w:type="dxa"/>
          <w:right w:w="75" w:type="dxa"/>
        </w:tblCellMar>
        <w:tblLook w:val="0000" w:firstRow="0" w:lastRow="0" w:firstColumn="0" w:lastColumn="0" w:noHBand="0" w:noVBand="0"/>
      </w:tblPr>
      <w:tblGrid>
        <w:gridCol w:w="4618"/>
        <w:gridCol w:w="1517"/>
        <w:gridCol w:w="1517"/>
        <w:gridCol w:w="1798"/>
      </w:tblGrid>
      <w:tr w:rsidR="00A20361" w14:paraId="77F084CA" w14:textId="77777777" w:rsidTr="0048210B">
        <w:trPr>
          <w:trHeight w:val="299"/>
          <w:jc w:val="center"/>
        </w:trPr>
        <w:tc>
          <w:tcPr>
            <w:tcW w:w="4618" w:type="dxa"/>
            <w:tcBorders>
              <w:top w:val="single" w:sz="6" w:space="0" w:color="auto"/>
              <w:left w:val="nil"/>
              <w:bottom w:val="nil"/>
              <w:right w:val="nil"/>
            </w:tcBorders>
          </w:tcPr>
          <w:p w14:paraId="79EB2FBB" w14:textId="77777777" w:rsidR="00A20361" w:rsidRPr="00DE6C9E" w:rsidRDefault="00A20361" w:rsidP="0048210B">
            <w:pPr>
              <w:widowControl w:val="0"/>
              <w:autoSpaceDE w:val="0"/>
              <w:autoSpaceDN w:val="0"/>
              <w:adjustRightInd w:val="0"/>
              <w:rPr>
                <w:sz w:val="20"/>
                <w:szCs w:val="20"/>
              </w:rPr>
            </w:pPr>
          </w:p>
        </w:tc>
        <w:tc>
          <w:tcPr>
            <w:tcW w:w="1517" w:type="dxa"/>
            <w:tcBorders>
              <w:top w:val="single" w:sz="6" w:space="0" w:color="auto"/>
              <w:left w:val="nil"/>
              <w:bottom w:val="nil"/>
              <w:right w:val="nil"/>
            </w:tcBorders>
          </w:tcPr>
          <w:p w14:paraId="4E931311"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(1)</w:t>
            </w:r>
          </w:p>
        </w:tc>
        <w:tc>
          <w:tcPr>
            <w:tcW w:w="1517" w:type="dxa"/>
            <w:tcBorders>
              <w:top w:val="single" w:sz="6" w:space="0" w:color="auto"/>
              <w:left w:val="nil"/>
              <w:bottom w:val="nil"/>
              <w:right w:val="nil"/>
            </w:tcBorders>
          </w:tcPr>
          <w:p w14:paraId="7B4F5002"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(2)</w:t>
            </w:r>
          </w:p>
        </w:tc>
        <w:tc>
          <w:tcPr>
            <w:tcW w:w="1798" w:type="dxa"/>
            <w:tcBorders>
              <w:top w:val="single" w:sz="6" w:space="0" w:color="auto"/>
              <w:left w:val="nil"/>
              <w:bottom w:val="nil"/>
              <w:right w:val="nil"/>
            </w:tcBorders>
          </w:tcPr>
          <w:p w14:paraId="2CBD5EF4"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w:p>
        </w:tc>
      </w:tr>
      <w:tr w:rsidR="00A20361" w14:paraId="680DE5F3" w14:textId="77777777" w:rsidTr="0048210B">
        <w:trPr>
          <w:trHeight w:val="299"/>
          <w:jc w:val="center"/>
        </w:trPr>
        <w:tc>
          <w:tcPr>
            <w:tcW w:w="4618" w:type="dxa"/>
            <w:tcBorders>
              <w:top w:val="nil"/>
              <w:left w:val="nil"/>
              <w:bottom w:val="single" w:sz="6" w:space="0" w:color="auto"/>
              <w:right w:val="nil"/>
            </w:tcBorders>
          </w:tcPr>
          <w:p w14:paraId="61232487" w14:textId="3A740682" w:rsidR="00A20361" w:rsidRPr="00DE6C9E" w:rsidRDefault="00A20361" w:rsidP="0048210B">
            <w:pPr>
              <w:widowControl w:val="0"/>
              <w:autoSpaceDE w:val="0"/>
              <w:autoSpaceDN w:val="0"/>
              <w:adjustRightInd w:val="0"/>
              <w:rPr>
                <w:sz w:val="20"/>
                <w:szCs w:val="20"/>
              </w:rPr>
            </w:pPr>
          </w:p>
        </w:tc>
        <w:tc>
          <w:tcPr>
            <w:tcW w:w="1517" w:type="dxa"/>
            <w:tcBorders>
              <w:top w:val="nil"/>
              <w:left w:val="nil"/>
              <w:bottom w:val="single" w:sz="6" w:space="0" w:color="auto"/>
              <w:right w:val="nil"/>
            </w:tcBorders>
          </w:tcPr>
          <w:p w14:paraId="1C3D45A8"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Fall Enrollment</w:t>
            </w:r>
          </w:p>
        </w:tc>
        <w:tc>
          <w:tcPr>
            <w:tcW w:w="1517" w:type="dxa"/>
            <w:tcBorders>
              <w:top w:val="nil"/>
              <w:left w:val="nil"/>
              <w:bottom w:val="single" w:sz="6" w:space="0" w:color="auto"/>
              <w:right w:val="nil"/>
            </w:tcBorders>
          </w:tcPr>
          <w:p w14:paraId="75A6061C" w14:textId="77777777" w:rsidR="00A20361" w:rsidRPr="00DE6C9E"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Fall Enrollment</w:t>
            </w:r>
          </w:p>
        </w:tc>
        <w:tc>
          <w:tcPr>
            <w:tcW w:w="1798" w:type="dxa"/>
            <w:tcBorders>
              <w:top w:val="nil"/>
              <w:left w:val="nil"/>
              <w:bottom w:val="single" w:sz="6" w:space="0" w:color="auto"/>
              <w:right w:val="nil"/>
            </w:tcBorders>
          </w:tcPr>
          <w:p w14:paraId="1B616DC8" w14:textId="77777777" w:rsidR="00856E26" w:rsidRDefault="00A20361" w:rsidP="0048210B">
            <w:pPr>
              <w:widowControl w:val="0"/>
              <w:autoSpaceDE w:val="0"/>
              <w:autoSpaceDN w:val="0"/>
              <w:adjustRightInd w:val="0"/>
              <w:jc w:val="center"/>
              <w:rPr>
                <w:sz w:val="20"/>
                <w:szCs w:val="20"/>
              </w:rPr>
            </w:pPr>
            <m:oMath>
              <m:r>
                <m:rPr>
                  <m:sty m:val="p"/>
                </m:rPr>
                <w:rPr>
                  <w:rFonts w:ascii="Cambria Math" w:hAnsi="Cambria Math"/>
                  <w:sz w:val="20"/>
                  <w:szCs w:val="20"/>
                </w:rPr>
                <m:t>∆</m:t>
              </m:r>
            </m:oMath>
            <w:r w:rsidRPr="00DE6C9E">
              <w:rPr>
                <w:sz w:val="20"/>
                <w:szCs w:val="20"/>
              </w:rPr>
              <w:t xml:space="preserve">Fall </w:t>
            </w:r>
          </w:p>
          <w:p w14:paraId="7D455655" w14:textId="680ED07E" w:rsidR="00A20361" w:rsidRPr="00DE6C9E" w:rsidRDefault="00A20361" w:rsidP="0048210B">
            <w:pPr>
              <w:widowControl w:val="0"/>
              <w:autoSpaceDE w:val="0"/>
              <w:autoSpaceDN w:val="0"/>
              <w:adjustRightInd w:val="0"/>
              <w:jc w:val="center"/>
              <w:rPr>
                <w:sz w:val="20"/>
                <w:szCs w:val="20"/>
              </w:rPr>
            </w:pPr>
            <w:r w:rsidRPr="00DE6C9E">
              <w:rPr>
                <w:sz w:val="20"/>
                <w:szCs w:val="20"/>
              </w:rPr>
              <w:t>Enrollment</w:t>
            </w:r>
          </w:p>
        </w:tc>
      </w:tr>
      <w:tr w:rsidR="00A20361" w14:paraId="39F1F733" w14:textId="77777777" w:rsidTr="0048210B">
        <w:trPr>
          <w:trHeight w:val="237"/>
          <w:jc w:val="center"/>
        </w:trPr>
        <w:tc>
          <w:tcPr>
            <w:tcW w:w="4618" w:type="dxa"/>
            <w:tcBorders>
              <w:top w:val="nil"/>
              <w:left w:val="nil"/>
              <w:bottom w:val="nil"/>
              <w:right w:val="nil"/>
            </w:tcBorders>
          </w:tcPr>
          <w:p w14:paraId="783B8AD8" w14:textId="77777777" w:rsidR="00A20361" w:rsidRPr="00DE6C9E" w:rsidRDefault="00A20361" w:rsidP="0048210B">
            <w:pPr>
              <w:widowControl w:val="0"/>
              <w:autoSpaceDE w:val="0"/>
              <w:autoSpaceDN w:val="0"/>
              <w:adjustRightInd w:val="0"/>
              <w:rPr>
                <w:sz w:val="20"/>
                <w:szCs w:val="20"/>
              </w:rPr>
            </w:pPr>
          </w:p>
        </w:tc>
        <w:tc>
          <w:tcPr>
            <w:tcW w:w="1517" w:type="dxa"/>
            <w:tcBorders>
              <w:top w:val="nil"/>
              <w:left w:val="nil"/>
              <w:bottom w:val="nil"/>
              <w:right w:val="nil"/>
            </w:tcBorders>
          </w:tcPr>
          <w:p w14:paraId="1F4A6C11" w14:textId="77777777" w:rsidR="00A20361" w:rsidRPr="00DE6C9E" w:rsidRDefault="00A20361" w:rsidP="0048210B">
            <w:pPr>
              <w:widowControl w:val="0"/>
              <w:autoSpaceDE w:val="0"/>
              <w:autoSpaceDN w:val="0"/>
              <w:adjustRightInd w:val="0"/>
              <w:jc w:val="center"/>
              <w:rPr>
                <w:sz w:val="20"/>
                <w:szCs w:val="20"/>
              </w:rPr>
            </w:pPr>
          </w:p>
        </w:tc>
        <w:tc>
          <w:tcPr>
            <w:tcW w:w="1517" w:type="dxa"/>
            <w:tcBorders>
              <w:top w:val="nil"/>
              <w:left w:val="nil"/>
              <w:bottom w:val="nil"/>
              <w:right w:val="nil"/>
            </w:tcBorders>
          </w:tcPr>
          <w:p w14:paraId="05209BBA" w14:textId="77777777" w:rsidR="00A20361" w:rsidRPr="00DE6C9E" w:rsidRDefault="00A20361" w:rsidP="0048210B">
            <w:pPr>
              <w:widowControl w:val="0"/>
              <w:autoSpaceDE w:val="0"/>
              <w:autoSpaceDN w:val="0"/>
              <w:adjustRightInd w:val="0"/>
              <w:jc w:val="center"/>
              <w:rPr>
                <w:sz w:val="20"/>
                <w:szCs w:val="20"/>
              </w:rPr>
            </w:pPr>
          </w:p>
        </w:tc>
        <w:tc>
          <w:tcPr>
            <w:tcW w:w="1798" w:type="dxa"/>
            <w:tcBorders>
              <w:top w:val="nil"/>
              <w:left w:val="nil"/>
              <w:bottom w:val="nil"/>
              <w:right w:val="nil"/>
            </w:tcBorders>
          </w:tcPr>
          <w:p w14:paraId="4F02CFFD" w14:textId="77777777" w:rsidR="00A20361" w:rsidRPr="00DE6C9E" w:rsidRDefault="00A20361" w:rsidP="0048210B">
            <w:pPr>
              <w:widowControl w:val="0"/>
              <w:autoSpaceDE w:val="0"/>
              <w:autoSpaceDN w:val="0"/>
              <w:adjustRightInd w:val="0"/>
              <w:jc w:val="center"/>
              <w:rPr>
                <w:sz w:val="20"/>
                <w:szCs w:val="20"/>
              </w:rPr>
            </w:pPr>
          </w:p>
        </w:tc>
      </w:tr>
      <w:tr w:rsidR="00DE6C9E" w14:paraId="5C77F644" w14:textId="77777777" w:rsidTr="00DE6C9E">
        <w:trPr>
          <w:trHeight w:val="299"/>
          <w:jc w:val="center"/>
        </w:trPr>
        <w:tc>
          <w:tcPr>
            <w:tcW w:w="4618" w:type="dxa"/>
            <w:tcBorders>
              <w:top w:val="nil"/>
              <w:left w:val="nil"/>
              <w:bottom w:val="nil"/>
              <w:right w:val="nil"/>
            </w:tcBorders>
            <w:vAlign w:val="bottom"/>
          </w:tcPr>
          <w:p w14:paraId="12A534A6" w14:textId="1FB33E91" w:rsidR="00DE6C9E" w:rsidRPr="00DE6C9E" w:rsidRDefault="00157748" w:rsidP="00DE6C9E">
            <w:pPr>
              <w:widowControl w:val="0"/>
              <w:autoSpaceDE w:val="0"/>
              <w:autoSpaceDN w:val="0"/>
              <w:adjustRightInd w:val="0"/>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517" w:type="dxa"/>
            <w:tcBorders>
              <w:top w:val="nil"/>
              <w:left w:val="nil"/>
              <w:bottom w:val="nil"/>
              <w:right w:val="nil"/>
            </w:tcBorders>
          </w:tcPr>
          <w:p w14:paraId="66E184F7"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-1.06</w:t>
            </w:r>
          </w:p>
        </w:tc>
        <w:tc>
          <w:tcPr>
            <w:tcW w:w="1517" w:type="dxa"/>
            <w:tcBorders>
              <w:top w:val="nil"/>
              <w:left w:val="nil"/>
              <w:bottom w:val="nil"/>
              <w:right w:val="nil"/>
            </w:tcBorders>
            <w:vAlign w:val="bottom"/>
          </w:tcPr>
          <w:p w14:paraId="74B6EE90"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0.20</w:t>
            </w:r>
          </w:p>
        </w:tc>
        <w:tc>
          <w:tcPr>
            <w:tcW w:w="1798" w:type="dxa"/>
            <w:tcBorders>
              <w:top w:val="nil"/>
              <w:left w:val="nil"/>
              <w:bottom w:val="nil"/>
              <w:right w:val="nil"/>
            </w:tcBorders>
          </w:tcPr>
          <w:p w14:paraId="28EB0DAA"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115.926</w:t>
            </w:r>
          </w:p>
        </w:tc>
      </w:tr>
      <w:tr w:rsidR="00DE6C9E" w14:paraId="456D54AE" w14:textId="77777777" w:rsidTr="0048210B">
        <w:trPr>
          <w:trHeight w:val="299"/>
          <w:jc w:val="center"/>
        </w:trPr>
        <w:tc>
          <w:tcPr>
            <w:tcW w:w="4618" w:type="dxa"/>
            <w:tcBorders>
              <w:top w:val="nil"/>
              <w:left w:val="nil"/>
              <w:bottom w:val="nil"/>
              <w:right w:val="nil"/>
            </w:tcBorders>
          </w:tcPr>
          <w:p w14:paraId="012F81CC" w14:textId="77777777" w:rsidR="00DE6C9E" w:rsidRPr="00DE6C9E" w:rsidRDefault="00DE6C9E" w:rsidP="00DE6C9E">
            <w:pPr>
              <w:widowControl w:val="0"/>
              <w:autoSpaceDE w:val="0"/>
              <w:autoSpaceDN w:val="0"/>
              <w:adjustRightInd w:val="0"/>
              <w:rPr>
                <w:sz w:val="20"/>
                <w:szCs w:val="20"/>
              </w:rPr>
            </w:pPr>
          </w:p>
        </w:tc>
        <w:tc>
          <w:tcPr>
            <w:tcW w:w="1517" w:type="dxa"/>
            <w:tcBorders>
              <w:top w:val="nil"/>
              <w:left w:val="nil"/>
              <w:bottom w:val="nil"/>
              <w:right w:val="nil"/>
            </w:tcBorders>
          </w:tcPr>
          <w:p w14:paraId="16932297"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(13.42)</w:t>
            </w:r>
          </w:p>
        </w:tc>
        <w:tc>
          <w:tcPr>
            <w:tcW w:w="1517" w:type="dxa"/>
            <w:tcBorders>
              <w:top w:val="nil"/>
              <w:left w:val="nil"/>
              <w:bottom w:val="nil"/>
              <w:right w:val="nil"/>
            </w:tcBorders>
            <w:vAlign w:val="bottom"/>
          </w:tcPr>
          <w:p w14:paraId="25A2A62B"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(7.13)</w:t>
            </w:r>
          </w:p>
        </w:tc>
        <w:tc>
          <w:tcPr>
            <w:tcW w:w="1798" w:type="dxa"/>
            <w:tcBorders>
              <w:top w:val="nil"/>
              <w:left w:val="nil"/>
              <w:bottom w:val="nil"/>
              <w:right w:val="nil"/>
            </w:tcBorders>
          </w:tcPr>
          <w:p w14:paraId="6BCD7E25"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(83.741)</w:t>
            </w:r>
          </w:p>
        </w:tc>
      </w:tr>
      <w:tr w:rsidR="00DE6C9E" w14:paraId="4629B827" w14:textId="77777777" w:rsidTr="0048210B">
        <w:trPr>
          <w:trHeight w:val="299"/>
          <w:jc w:val="center"/>
        </w:trPr>
        <w:tc>
          <w:tcPr>
            <w:tcW w:w="4618" w:type="dxa"/>
            <w:tcBorders>
              <w:top w:val="nil"/>
              <w:left w:val="nil"/>
              <w:bottom w:val="single" w:sz="4" w:space="0" w:color="auto"/>
              <w:right w:val="nil"/>
            </w:tcBorders>
          </w:tcPr>
          <w:p w14:paraId="0E56636B" w14:textId="77777777" w:rsidR="00DE6C9E" w:rsidRPr="00DE6C9E" w:rsidRDefault="00DE6C9E" w:rsidP="00DE6C9E">
            <w:pPr>
              <w:widowControl w:val="0"/>
              <w:autoSpaceDE w:val="0"/>
              <w:autoSpaceDN w:val="0"/>
              <w:adjustRightInd w:val="0"/>
              <w:rPr>
                <w:sz w:val="20"/>
                <w:szCs w:val="20"/>
              </w:rPr>
            </w:pPr>
          </w:p>
        </w:tc>
        <w:tc>
          <w:tcPr>
            <w:tcW w:w="1517" w:type="dxa"/>
            <w:tcBorders>
              <w:top w:val="nil"/>
              <w:left w:val="nil"/>
              <w:bottom w:val="single" w:sz="4" w:space="0" w:color="auto"/>
              <w:right w:val="nil"/>
            </w:tcBorders>
          </w:tcPr>
          <w:p w14:paraId="2330A8EF" w14:textId="77777777" w:rsidR="00DE6C9E" w:rsidRPr="00DE6C9E" w:rsidRDefault="00DE6C9E" w:rsidP="00DE6C9E">
            <w:pPr>
              <w:widowControl w:val="0"/>
              <w:autoSpaceDE w:val="0"/>
              <w:autoSpaceDN w:val="0"/>
              <w:adjustRightInd w:val="0"/>
              <w:jc w:val="center"/>
              <w:rPr>
                <w:sz w:val="20"/>
                <w:szCs w:val="20"/>
              </w:rPr>
            </w:pPr>
          </w:p>
        </w:tc>
        <w:tc>
          <w:tcPr>
            <w:tcW w:w="1517" w:type="dxa"/>
            <w:tcBorders>
              <w:top w:val="nil"/>
              <w:left w:val="nil"/>
              <w:bottom w:val="single" w:sz="4" w:space="0" w:color="auto"/>
              <w:right w:val="nil"/>
            </w:tcBorders>
          </w:tcPr>
          <w:p w14:paraId="1CCDA0FC" w14:textId="77777777" w:rsidR="00DE6C9E" w:rsidRPr="00DE6C9E" w:rsidRDefault="00DE6C9E" w:rsidP="00DE6C9E">
            <w:pPr>
              <w:widowControl w:val="0"/>
              <w:autoSpaceDE w:val="0"/>
              <w:autoSpaceDN w:val="0"/>
              <w:adjustRightInd w:val="0"/>
              <w:jc w:val="center"/>
              <w:rPr>
                <w:sz w:val="20"/>
                <w:szCs w:val="20"/>
              </w:rPr>
            </w:pPr>
          </w:p>
        </w:tc>
        <w:tc>
          <w:tcPr>
            <w:tcW w:w="1798" w:type="dxa"/>
            <w:tcBorders>
              <w:top w:val="nil"/>
              <w:left w:val="nil"/>
              <w:bottom w:val="single" w:sz="4" w:space="0" w:color="auto"/>
              <w:right w:val="nil"/>
            </w:tcBorders>
          </w:tcPr>
          <w:p w14:paraId="17A593F4" w14:textId="77777777" w:rsidR="00DE6C9E" w:rsidRPr="00DE6C9E" w:rsidRDefault="00DE6C9E" w:rsidP="00DE6C9E">
            <w:pPr>
              <w:widowControl w:val="0"/>
              <w:autoSpaceDE w:val="0"/>
              <w:autoSpaceDN w:val="0"/>
              <w:adjustRightInd w:val="0"/>
              <w:jc w:val="center"/>
              <w:rPr>
                <w:sz w:val="20"/>
                <w:szCs w:val="20"/>
              </w:rPr>
            </w:pPr>
          </w:p>
        </w:tc>
      </w:tr>
      <w:tr w:rsidR="00DE6C9E" w14:paraId="0D7EE194" w14:textId="77777777" w:rsidTr="0048210B">
        <w:trPr>
          <w:trHeight w:val="299"/>
          <w:jc w:val="center"/>
        </w:trPr>
        <w:tc>
          <w:tcPr>
            <w:tcW w:w="4618" w:type="dxa"/>
            <w:tcBorders>
              <w:top w:val="single" w:sz="4" w:space="0" w:color="auto"/>
              <w:left w:val="nil"/>
              <w:bottom w:val="nil"/>
              <w:right w:val="nil"/>
            </w:tcBorders>
          </w:tcPr>
          <w:p w14:paraId="498A9911" w14:textId="77777777" w:rsidR="00DE6C9E" w:rsidRPr="00DE6C9E" w:rsidRDefault="00DE6C9E" w:rsidP="00DE6C9E">
            <w:pPr>
              <w:widowControl w:val="0"/>
              <w:autoSpaceDE w:val="0"/>
              <w:autoSpaceDN w:val="0"/>
              <w:adjustRightInd w:val="0"/>
              <w:rPr>
                <w:sz w:val="20"/>
                <w:szCs w:val="20"/>
              </w:rPr>
            </w:pPr>
            <w:r w:rsidRPr="00DE6C9E">
              <w:rPr>
                <w:sz w:val="20"/>
                <w:szCs w:val="20"/>
              </w:rPr>
              <w:t>Observations</w:t>
            </w:r>
          </w:p>
        </w:tc>
        <w:tc>
          <w:tcPr>
            <w:tcW w:w="1517" w:type="dxa"/>
            <w:tcBorders>
              <w:top w:val="single" w:sz="4" w:space="0" w:color="auto"/>
              <w:left w:val="nil"/>
              <w:bottom w:val="nil"/>
              <w:right w:val="nil"/>
            </w:tcBorders>
          </w:tcPr>
          <w:p w14:paraId="651F0667"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1,444</w:t>
            </w:r>
          </w:p>
        </w:tc>
        <w:tc>
          <w:tcPr>
            <w:tcW w:w="1517" w:type="dxa"/>
            <w:tcBorders>
              <w:top w:val="single" w:sz="4" w:space="0" w:color="auto"/>
              <w:left w:val="nil"/>
              <w:bottom w:val="nil"/>
              <w:right w:val="nil"/>
            </w:tcBorders>
            <w:vAlign w:val="bottom"/>
          </w:tcPr>
          <w:p w14:paraId="72458677"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1444</w:t>
            </w:r>
          </w:p>
        </w:tc>
        <w:tc>
          <w:tcPr>
            <w:tcW w:w="1798" w:type="dxa"/>
            <w:tcBorders>
              <w:top w:val="single" w:sz="4" w:space="0" w:color="auto"/>
              <w:left w:val="nil"/>
              <w:bottom w:val="nil"/>
              <w:right w:val="nil"/>
            </w:tcBorders>
          </w:tcPr>
          <w:p w14:paraId="70447665"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96</w:t>
            </w:r>
          </w:p>
        </w:tc>
      </w:tr>
      <w:tr w:rsidR="00DE6C9E" w14:paraId="30E58D7D" w14:textId="77777777" w:rsidTr="0048210B">
        <w:trPr>
          <w:trHeight w:val="299"/>
          <w:jc w:val="center"/>
        </w:trPr>
        <w:tc>
          <w:tcPr>
            <w:tcW w:w="4618" w:type="dxa"/>
            <w:tcBorders>
              <w:top w:val="nil"/>
              <w:left w:val="nil"/>
              <w:right w:val="nil"/>
            </w:tcBorders>
          </w:tcPr>
          <w:p w14:paraId="57A098FF" w14:textId="77777777" w:rsidR="00DE6C9E" w:rsidRPr="00DE6C9E" w:rsidRDefault="00DE6C9E" w:rsidP="00DE6C9E">
            <w:pPr>
              <w:widowControl w:val="0"/>
              <w:autoSpaceDE w:val="0"/>
              <w:autoSpaceDN w:val="0"/>
              <w:adjustRightInd w:val="0"/>
              <w:rPr>
                <w:sz w:val="20"/>
                <w:szCs w:val="20"/>
              </w:rPr>
            </w:pPr>
            <w:r w:rsidRPr="00DE6C9E">
              <w:rPr>
                <w:sz w:val="20"/>
                <w:szCs w:val="20"/>
              </w:rPr>
              <w:t>R-squared</w:t>
            </w:r>
          </w:p>
        </w:tc>
        <w:tc>
          <w:tcPr>
            <w:tcW w:w="1517" w:type="dxa"/>
            <w:tcBorders>
              <w:top w:val="nil"/>
              <w:left w:val="nil"/>
              <w:right w:val="nil"/>
            </w:tcBorders>
          </w:tcPr>
          <w:p w14:paraId="471A4B3F"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0.541</w:t>
            </w:r>
          </w:p>
        </w:tc>
        <w:tc>
          <w:tcPr>
            <w:tcW w:w="1517" w:type="dxa"/>
            <w:tcBorders>
              <w:top w:val="nil"/>
              <w:left w:val="nil"/>
              <w:right w:val="nil"/>
            </w:tcBorders>
            <w:vAlign w:val="bottom"/>
          </w:tcPr>
          <w:p w14:paraId="56C59D35"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0.686</w:t>
            </w:r>
          </w:p>
        </w:tc>
        <w:tc>
          <w:tcPr>
            <w:tcW w:w="1798" w:type="dxa"/>
            <w:tcBorders>
              <w:top w:val="nil"/>
              <w:left w:val="nil"/>
              <w:right w:val="nil"/>
            </w:tcBorders>
          </w:tcPr>
          <w:p w14:paraId="762CD49D"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0.797</w:t>
            </w:r>
          </w:p>
        </w:tc>
      </w:tr>
      <w:tr w:rsidR="00DE6C9E" w14:paraId="5731570A" w14:textId="77777777" w:rsidTr="0048210B">
        <w:trPr>
          <w:trHeight w:val="299"/>
          <w:jc w:val="center"/>
        </w:trPr>
        <w:tc>
          <w:tcPr>
            <w:tcW w:w="4618" w:type="dxa"/>
            <w:tcBorders>
              <w:top w:val="nil"/>
              <w:left w:val="nil"/>
              <w:bottom w:val="single" w:sz="4" w:space="0" w:color="auto"/>
              <w:right w:val="nil"/>
            </w:tcBorders>
          </w:tcPr>
          <w:p w14:paraId="7171B106" w14:textId="77777777" w:rsidR="00DE6C9E" w:rsidRPr="00DE6C9E" w:rsidRDefault="00DE6C9E" w:rsidP="00DE6C9E">
            <w:pPr>
              <w:widowControl w:val="0"/>
              <w:autoSpaceDE w:val="0"/>
              <w:autoSpaceDN w:val="0"/>
              <w:adjustRightInd w:val="0"/>
              <w:rPr>
                <w:sz w:val="20"/>
                <w:szCs w:val="20"/>
              </w:rPr>
            </w:pPr>
            <w:r w:rsidRPr="00DE6C9E">
              <w:rPr>
                <w:sz w:val="20"/>
                <w:szCs w:val="20"/>
              </w:rPr>
              <w:t>Average Dependent Variable</w:t>
            </w:r>
          </w:p>
        </w:tc>
        <w:tc>
          <w:tcPr>
            <w:tcW w:w="1517" w:type="dxa"/>
            <w:tcBorders>
              <w:top w:val="nil"/>
              <w:left w:val="nil"/>
              <w:bottom w:val="single" w:sz="4" w:space="0" w:color="auto"/>
              <w:right w:val="nil"/>
            </w:tcBorders>
          </w:tcPr>
          <w:p w14:paraId="31A1315C"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5.81</w:t>
            </w:r>
          </w:p>
        </w:tc>
        <w:tc>
          <w:tcPr>
            <w:tcW w:w="1517" w:type="dxa"/>
            <w:tcBorders>
              <w:top w:val="nil"/>
              <w:left w:val="nil"/>
              <w:bottom w:val="single" w:sz="4" w:space="0" w:color="auto"/>
              <w:right w:val="nil"/>
            </w:tcBorders>
          </w:tcPr>
          <w:p w14:paraId="0FEF6BC5"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5.81</w:t>
            </w:r>
          </w:p>
        </w:tc>
        <w:tc>
          <w:tcPr>
            <w:tcW w:w="1798" w:type="dxa"/>
            <w:tcBorders>
              <w:top w:val="nil"/>
              <w:left w:val="nil"/>
              <w:bottom w:val="single" w:sz="4" w:space="0" w:color="auto"/>
              <w:right w:val="nil"/>
            </w:tcBorders>
          </w:tcPr>
          <w:p w14:paraId="6F0613C5" w14:textId="77777777" w:rsidR="00DE6C9E" w:rsidRPr="00DE6C9E" w:rsidRDefault="00DE6C9E" w:rsidP="00DE6C9E">
            <w:pPr>
              <w:widowControl w:val="0"/>
              <w:autoSpaceDE w:val="0"/>
              <w:autoSpaceDN w:val="0"/>
              <w:adjustRightInd w:val="0"/>
              <w:jc w:val="center"/>
              <w:rPr>
                <w:sz w:val="20"/>
                <w:szCs w:val="20"/>
              </w:rPr>
            </w:pPr>
            <w:r w:rsidRPr="00DE6C9E">
              <w:rPr>
                <w:sz w:val="20"/>
                <w:szCs w:val="20"/>
              </w:rPr>
              <w:t>87.14</w:t>
            </w:r>
          </w:p>
        </w:tc>
      </w:tr>
    </w:tbl>
    <w:p w14:paraId="4EA475E5" w14:textId="77777777" w:rsidR="00DE6C9E" w:rsidRPr="00DE6C9E" w:rsidRDefault="00A20361" w:rsidP="00DE6C9E">
      <w:pPr>
        <w:jc w:val="both"/>
        <w:rPr>
          <w:rFonts w:ascii="Times" w:hAnsi="Times" w:cs="Times"/>
          <w:color w:val="000000"/>
          <w:sz w:val="21"/>
          <w:szCs w:val="21"/>
        </w:rPr>
      </w:pPr>
      <w:r w:rsidRPr="00DE6C9E">
        <w:rPr>
          <w:rFonts w:ascii="Times" w:hAnsi="Times" w:cs="Times"/>
          <w:color w:val="000000"/>
          <w:sz w:val="21"/>
          <w:szCs w:val="21"/>
        </w:rPr>
        <w:t xml:space="preserve">Notes: All regressions include the full vectors of control variables from column (5) of Table 3. Robust standard errors in parentheses are clustered on CZ. Models are weighted by start of period CZ share of national population. Column (1) (2) (3) have the same specification as equation (1) (2) (3) respectively. </w:t>
      </w:r>
      <w:r w:rsidR="00DE6C9E" w:rsidRPr="00DE6C9E">
        <w:rPr>
          <w:rFonts w:ascii="Times" w:hAnsi="Times" w:cs="Times"/>
          <w:color w:val="000000"/>
          <w:sz w:val="21"/>
          <w:szCs w:val="21"/>
        </w:rPr>
        <w:t>* p&lt;0.05, ** p&lt;0.01, *** p&lt;0.001</w:t>
      </w:r>
    </w:p>
    <w:p w14:paraId="3B50D289" w14:textId="164BBBC5" w:rsidR="00A20361" w:rsidRDefault="00A20361" w:rsidP="00A20361">
      <w:pPr>
        <w:widowControl w:val="0"/>
        <w:autoSpaceDE w:val="0"/>
        <w:autoSpaceDN w:val="0"/>
        <w:adjustRightInd w:val="0"/>
        <w:spacing w:after="240"/>
        <w:jc w:val="both"/>
        <w:rPr>
          <w:rFonts w:ascii="Times" w:hAnsi="Times" w:cs="Times"/>
          <w:i/>
          <w:iCs/>
          <w:color w:val="000000"/>
          <w:sz w:val="21"/>
          <w:szCs w:val="21"/>
        </w:rPr>
      </w:pPr>
    </w:p>
    <w:p w14:paraId="26A9B5BA" w14:textId="77777777" w:rsidR="00A20361" w:rsidRPr="005B294B" w:rsidRDefault="00A20361" w:rsidP="00A20361">
      <w:pPr>
        <w:widowControl w:val="0"/>
        <w:autoSpaceDE w:val="0"/>
        <w:autoSpaceDN w:val="0"/>
        <w:adjustRightInd w:val="0"/>
        <w:spacing w:after="240"/>
        <w:rPr>
          <w:rFonts w:ascii="Times" w:hAnsi="Times" w:cs="Times"/>
          <w:i/>
          <w:iCs/>
          <w:color w:val="000000"/>
          <w:sz w:val="21"/>
          <w:szCs w:val="21"/>
        </w:rPr>
      </w:pPr>
    </w:p>
    <w:p w14:paraId="57AD5FE2" w14:textId="77777777" w:rsidR="00A20361" w:rsidRDefault="00A20361" w:rsidP="00A20361">
      <w:r>
        <w:br w:type="page"/>
      </w:r>
    </w:p>
    <w:p w14:paraId="48FB92BC" w14:textId="1926991D" w:rsidR="00AE5552" w:rsidRDefault="00AE5552" w:rsidP="00A20361">
      <w:pPr>
        <w:rPr>
          <w:b/>
          <w:bCs/>
        </w:rPr>
      </w:pPr>
      <w:r>
        <w:rPr>
          <w:b/>
          <w:bCs/>
        </w:rPr>
        <w:lastRenderedPageBreak/>
        <w:t>Appendix</w:t>
      </w:r>
    </w:p>
    <w:p w14:paraId="78CCB5EA" w14:textId="77777777" w:rsidR="00801F40" w:rsidRDefault="00801F40" w:rsidP="00A20361">
      <w:pPr>
        <w:rPr>
          <w:b/>
          <w:bCs/>
        </w:rPr>
      </w:pPr>
    </w:p>
    <w:p w14:paraId="31444D99" w14:textId="606BBDAE" w:rsidR="00A20361" w:rsidRPr="00841E1D" w:rsidRDefault="00A20361" w:rsidP="00A20361">
      <w:pPr>
        <w:rPr>
          <w:b/>
          <w:bCs/>
        </w:rPr>
      </w:pPr>
      <w:r w:rsidRPr="00841E1D">
        <w:rPr>
          <w:b/>
          <w:bCs/>
        </w:rPr>
        <w:t>Table</w:t>
      </w:r>
      <w:r w:rsidR="00AE5552">
        <w:rPr>
          <w:b/>
          <w:bCs/>
        </w:rPr>
        <w:t xml:space="preserve"> A1</w:t>
      </w:r>
      <w:r w:rsidRPr="00841E1D">
        <w:rPr>
          <w:b/>
          <w:bCs/>
        </w:rPr>
        <w:t xml:space="preserve"> </w:t>
      </w:r>
      <w:r w:rsidR="008F1A28" w:rsidRPr="00841E1D">
        <w:rPr>
          <w:b/>
          <w:bCs/>
        </w:rPr>
        <w:t>Alternative Measures of Import Exposure</w:t>
      </w:r>
    </w:p>
    <w:p w14:paraId="2461C106" w14:textId="77777777" w:rsidR="00A20361" w:rsidRDefault="00A20361" w:rsidP="00A20361"/>
    <w:tbl>
      <w:tblPr>
        <w:tblW w:w="9596" w:type="dxa"/>
        <w:tblBorders>
          <w:top w:val="single" w:sz="4" w:space="0" w:color="auto"/>
          <w:bottom w:val="single" w:sz="4" w:space="0" w:color="auto"/>
        </w:tblBorders>
        <w:tblLook w:val="04A0" w:firstRow="1" w:lastRow="0" w:firstColumn="1" w:lastColumn="0" w:noHBand="0" w:noVBand="1"/>
      </w:tblPr>
      <w:tblGrid>
        <w:gridCol w:w="3019"/>
        <w:gridCol w:w="1337"/>
        <w:gridCol w:w="1251"/>
        <w:gridCol w:w="1251"/>
        <w:gridCol w:w="1251"/>
        <w:gridCol w:w="1487"/>
      </w:tblGrid>
      <w:tr w:rsidR="00A20361" w14:paraId="401C832F" w14:textId="77777777" w:rsidTr="001B7E3E">
        <w:trPr>
          <w:trHeight w:val="320"/>
        </w:trPr>
        <w:tc>
          <w:tcPr>
            <w:tcW w:w="3019" w:type="dxa"/>
            <w:tcBorders>
              <w:top w:val="single" w:sz="4" w:space="0" w:color="auto"/>
              <w:bottom w:val="single" w:sz="4" w:space="0" w:color="auto"/>
            </w:tcBorders>
            <w:shd w:val="clear" w:color="auto" w:fill="auto"/>
            <w:noWrap/>
            <w:vAlign w:val="bottom"/>
            <w:hideMark/>
          </w:tcPr>
          <w:p w14:paraId="5536BFDF" w14:textId="77777777" w:rsidR="00A20361" w:rsidRPr="00DE6C9E" w:rsidRDefault="00A20361" w:rsidP="0048210B">
            <w:pPr>
              <w:rPr>
                <w:sz w:val="20"/>
                <w:szCs w:val="20"/>
              </w:rPr>
            </w:pPr>
          </w:p>
        </w:tc>
        <w:tc>
          <w:tcPr>
            <w:tcW w:w="1337" w:type="dxa"/>
            <w:tcBorders>
              <w:top w:val="single" w:sz="4" w:space="0" w:color="auto"/>
              <w:bottom w:val="single" w:sz="4" w:space="0" w:color="auto"/>
            </w:tcBorders>
            <w:shd w:val="clear" w:color="auto" w:fill="auto"/>
            <w:noWrap/>
            <w:hideMark/>
          </w:tcPr>
          <w:p w14:paraId="306BACCC" w14:textId="77777777" w:rsidR="00A20361" w:rsidRPr="00DE6C9E" w:rsidRDefault="00A20361" w:rsidP="0048210B">
            <w:pPr>
              <w:rPr>
                <w:sz w:val="20"/>
                <w:szCs w:val="20"/>
              </w:rPr>
            </w:pPr>
            <w:r w:rsidRPr="00DE6C9E">
              <w:rPr>
                <w:sz w:val="20"/>
                <w:szCs w:val="20"/>
              </w:rPr>
              <w:t xml:space="preserve">(1)                  </w:t>
            </w:r>
            <m:oMath>
              <m:r>
                <m:rPr>
                  <m:sty m:val="p"/>
                </m:rPr>
                <w:rPr>
                  <w:rFonts w:ascii="Cambria Math" w:hAnsi="Cambria Math"/>
                  <w:sz w:val="20"/>
                  <w:szCs w:val="20"/>
                </w:rPr>
                <m:t>∆</m:t>
              </m:r>
            </m:oMath>
            <w:r w:rsidRPr="00DE6C9E">
              <w:rPr>
                <w:sz w:val="20"/>
                <w:szCs w:val="20"/>
              </w:rPr>
              <w:t xml:space="preserve">Total Expenditure     </w:t>
            </w:r>
          </w:p>
        </w:tc>
        <w:tc>
          <w:tcPr>
            <w:tcW w:w="1251" w:type="dxa"/>
            <w:tcBorders>
              <w:top w:val="single" w:sz="4" w:space="0" w:color="auto"/>
              <w:bottom w:val="single" w:sz="4" w:space="0" w:color="auto"/>
            </w:tcBorders>
            <w:shd w:val="clear" w:color="auto" w:fill="auto"/>
            <w:noWrap/>
            <w:hideMark/>
          </w:tcPr>
          <w:p w14:paraId="2DD0DF55" w14:textId="77777777" w:rsidR="00A20361" w:rsidRPr="00DE6C9E" w:rsidRDefault="00A20361" w:rsidP="0048210B">
            <w:pPr>
              <w:rPr>
                <w:sz w:val="20"/>
                <w:szCs w:val="20"/>
              </w:rPr>
            </w:pPr>
            <w:r w:rsidRPr="00DE6C9E">
              <w:rPr>
                <w:sz w:val="20"/>
                <w:szCs w:val="20"/>
              </w:rPr>
              <w:t xml:space="preserve">(2)                  </w:t>
            </w:r>
            <m:oMath>
              <m:r>
                <m:rPr>
                  <m:sty m:val="p"/>
                </m:rPr>
                <w:rPr>
                  <w:rFonts w:ascii="Cambria Math" w:hAnsi="Cambria Math"/>
                  <w:sz w:val="20"/>
                  <w:szCs w:val="20"/>
                </w:rPr>
                <m:t>∆</m:t>
              </m:r>
            </m:oMath>
            <w:r w:rsidRPr="00DE6C9E">
              <w:rPr>
                <w:sz w:val="20"/>
                <w:szCs w:val="20"/>
              </w:rPr>
              <w:t xml:space="preserve">Total Revenue      </w:t>
            </w:r>
          </w:p>
        </w:tc>
        <w:tc>
          <w:tcPr>
            <w:tcW w:w="1251" w:type="dxa"/>
            <w:tcBorders>
              <w:top w:val="single" w:sz="4" w:space="0" w:color="auto"/>
              <w:bottom w:val="single" w:sz="4" w:space="0" w:color="auto"/>
            </w:tcBorders>
            <w:shd w:val="clear" w:color="auto" w:fill="auto"/>
            <w:noWrap/>
            <w:hideMark/>
          </w:tcPr>
          <w:p w14:paraId="411495D2"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(3)</w:t>
            </w:r>
            <m:oMath>
              <m:r>
                <m:rPr>
                  <m:sty m:val="p"/>
                </m:rPr>
                <w:rPr>
                  <w:rFonts w:ascii="Cambria Math" w:hAnsi="Cambria Math"/>
                  <w:sz w:val="20"/>
                  <w:szCs w:val="20"/>
                </w:rPr>
                <m:t xml:space="preserve"> </m:t>
              </m:r>
            </m:oMath>
          </w:p>
          <w:p w14:paraId="4DC4803D" w14:textId="77777777" w:rsidR="00A20361" w:rsidRPr="00DE6C9E" w:rsidRDefault="00A20361" w:rsidP="0048210B">
            <w:pPr>
              <w:rPr>
                <w:sz w:val="20"/>
                <w:szCs w:val="20"/>
              </w:rPr>
            </w:pPr>
            <m:oMath>
              <m:r>
                <m:rPr>
                  <m:sty m:val="p"/>
                </m:rPr>
                <w:rPr>
                  <w:rFonts w:ascii="Cambria Math" w:hAnsi="Cambria Math"/>
                  <w:sz w:val="20"/>
                  <w:szCs w:val="20"/>
                </w:rPr>
                <m:t>∆</m:t>
              </m:r>
            </m:oMath>
            <w:r w:rsidRPr="00DE6C9E">
              <w:rPr>
                <w:sz w:val="20"/>
                <w:szCs w:val="20"/>
              </w:rPr>
              <w:t xml:space="preserve">Local Revenue      </w:t>
            </w:r>
          </w:p>
        </w:tc>
        <w:tc>
          <w:tcPr>
            <w:tcW w:w="1251" w:type="dxa"/>
            <w:tcBorders>
              <w:top w:val="single" w:sz="4" w:space="0" w:color="auto"/>
              <w:bottom w:val="single" w:sz="4" w:space="0" w:color="auto"/>
            </w:tcBorders>
            <w:shd w:val="clear" w:color="auto" w:fill="auto"/>
            <w:noWrap/>
            <w:hideMark/>
          </w:tcPr>
          <w:p w14:paraId="06789408"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(4)</w:t>
            </w:r>
            <m:oMath>
              <m:r>
                <m:rPr>
                  <m:sty m:val="p"/>
                </m:rPr>
                <w:rPr>
                  <w:rFonts w:ascii="Cambria Math" w:hAnsi="Cambria Math"/>
                  <w:sz w:val="20"/>
                  <w:szCs w:val="20"/>
                </w:rPr>
                <m:t xml:space="preserve"> </m:t>
              </m:r>
            </m:oMath>
          </w:p>
          <w:p w14:paraId="5AD3B1A6" w14:textId="77777777" w:rsidR="00A20361" w:rsidRPr="00DE6C9E" w:rsidRDefault="00A20361" w:rsidP="0048210B">
            <w:pPr>
              <w:rPr>
                <w:sz w:val="20"/>
                <w:szCs w:val="20"/>
              </w:rPr>
            </w:pPr>
            <m:oMath>
              <m:r>
                <m:rPr>
                  <m:sty m:val="p"/>
                </m:rPr>
                <w:rPr>
                  <w:rFonts w:ascii="Cambria Math" w:hAnsi="Cambria Math"/>
                  <w:sz w:val="20"/>
                  <w:szCs w:val="20"/>
                </w:rPr>
                <m:t>∆</m:t>
              </m:r>
            </m:oMath>
            <w:r w:rsidRPr="00DE6C9E">
              <w:rPr>
                <w:sz w:val="20"/>
                <w:szCs w:val="20"/>
              </w:rPr>
              <w:t xml:space="preserve">Federal Revenue         </w:t>
            </w:r>
          </w:p>
        </w:tc>
        <w:tc>
          <w:tcPr>
            <w:tcW w:w="1487" w:type="dxa"/>
            <w:tcBorders>
              <w:top w:val="single" w:sz="4" w:space="0" w:color="auto"/>
              <w:bottom w:val="single" w:sz="4" w:space="0" w:color="auto"/>
            </w:tcBorders>
            <w:shd w:val="clear" w:color="auto" w:fill="auto"/>
            <w:noWrap/>
            <w:hideMark/>
          </w:tcPr>
          <w:p w14:paraId="065316BC" w14:textId="77777777" w:rsidR="00A20361" w:rsidRPr="00DE6C9E" w:rsidRDefault="00A20361" w:rsidP="0048210B">
            <w:pPr>
              <w:widowControl w:val="0"/>
              <w:autoSpaceDE w:val="0"/>
              <w:autoSpaceDN w:val="0"/>
              <w:adjustRightInd w:val="0"/>
              <w:jc w:val="center"/>
              <w:rPr>
                <w:sz w:val="20"/>
                <w:szCs w:val="20"/>
              </w:rPr>
            </w:pPr>
            <w:r w:rsidRPr="00DE6C9E">
              <w:rPr>
                <w:sz w:val="20"/>
                <w:szCs w:val="20"/>
              </w:rPr>
              <w:t>(5)</w:t>
            </w:r>
          </w:p>
          <w:p w14:paraId="3C9BCD37" w14:textId="77777777" w:rsidR="00A20361" w:rsidRPr="00DE6C9E" w:rsidRDefault="00A20361" w:rsidP="0048210B">
            <w:pPr>
              <w:rPr>
                <w:sz w:val="20"/>
                <w:szCs w:val="20"/>
              </w:rPr>
            </w:pPr>
            <m:oMath>
              <m:r>
                <m:rPr>
                  <m:sty m:val="p"/>
                </m:rPr>
                <w:rPr>
                  <w:rFonts w:ascii="Cambria Math" w:hAnsi="Cambria Math"/>
                  <w:sz w:val="20"/>
                  <w:szCs w:val="20"/>
                </w:rPr>
                <m:t xml:space="preserve"> ∆</m:t>
              </m:r>
            </m:oMath>
            <w:r w:rsidRPr="00DE6C9E">
              <w:rPr>
                <w:sz w:val="20"/>
                <w:szCs w:val="20"/>
              </w:rPr>
              <w:t xml:space="preserve">State Revenue      </w:t>
            </w:r>
          </w:p>
        </w:tc>
      </w:tr>
      <w:tr w:rsidR="00A20361" w14:paraId="44B51ACC" w14:textId="77777777" w:rsidTr="001B7E3E">
        <w:trPr>
          <w:trHeight w:val="320"/>
        </w:trPr>
        <w:tc>
          <w:tcPr>
            <w:tcW w:w="9596" w:type="dxa"/>
            <w:gridSpan w:val="6"/>
            <w:tcBorders>
              <w:top w:val="single" w:sz="4" w:space="0" w:color="auto"/>
              <w:bottom w:val="single" w:sz="4" w:space="0" w:color="auto"/>
            </w:tcBorders>
            <w:shd w:val="clear" w:color="auto" w:fill="auto"/>
            <w:noWrap/>
            <w:vAlign w:val="bottom"/>
            <w:hideMark/>
          </w:tcPr>
          <w:p w14:paraId="03CC03A9" w14:textId="6BECE16C" w:rsidR="00A20361" w:rsidRDefault="00A20361" w:rsidP="001B7E3E">
            <w:pPr>
              <w:pStyle w:val="NormalWeb"/>
              <w:shd w:val="clear" w:color="auto" w:fill="FFFFFF"/>
            </w:pPr>
            <w:r w:rsidRPr="00DE6C9E">
              <w:rPr>
                <w:sz w:val="20"/>
                <w:szCs w:val="20"/>
              </w:rPr>
              <w:t xml:space="preserve">Panel A: Baseline result: Gross Chinese imports per worker (2SLS) </w:t>
            </w:r>
          </w:p>
        </w:tc>
      </w:tr>
      <w:tr w:rsidR="00A20361" w14:paraId="054D100F" w14:textId="77777777" w:rsidTr="001B7E3E">
        <w:trPr>
          <w:trHeight w:val="340"/>
        </w:trPr>
        <w:tc>
          <w:tcPr>
            <w:tcW w:w="3019" w:type="dxa"/>
            <w:tcBorders>
              <w:top w:val="single" w:sz="4" w:space="0" w:color="auto"/>
            </w:tcBorders>
            <w:shd w:val="clear" w:color="auto" w:fill="auto"/>
            <w:noWrap/>
            <w:vAlign w:val="bottom"/>
            <w:hideMark/>
          </w:tcPr>
          <w:p w14:paraId="72D1EAFC" w14:textId="77777777" w:rsidR="00A20361" w:rsidRPr="00DE6C9E" w:rsidRDefault="00157748" w:rsidP="0048210B">
            <w:pP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337" w:type="dxa"/>
            <w:tcBorders>
              <w:top w:val="single" w:sz="4" w:space="0" w:color="auto"/>
            </w:tcBorders>
            <w:shd w:val="clear" w:color="auto" w:fill="auto"/>
            <w:noWrap/>
            <w:vAlign w:val="center"/>
            <w:hideMark/>
          </w:tcPr>
          <w:p w14:paraId="7A30AE71" w14:textId="77777777" w:rsidR="00A20361" w:rsidRPr="00DE6C9E" w:rsidRDefault="00A20361" w:rsidP="0048210B">
            <w:pPr>
              <w:jc w:val="center"/>
              <w:rPr>
                <w:sz w:val="20"/>
                <w:szCs w:val="20"/>
              </w:rPr>
            </w:pPr>
            <w:r w:rsidRPr="00DE6C9E">
              <w:rPr>
                <w:sz w:val="20"/>
                <w:szCs w:val="20"/>
              </w:rPr>
              <w:t>-0.262***</w:t>
            </w:r>
          </w:p>
        </w:tc>
        <w:tc>
          <w:tcPr>
            <w:tcW w:w="1251" w:type="dxa"/>
            <w:tcBorders>
              <w:top w:val="single" w:sz="4" w:space="0" w:color="auto"/>
            </w:tcBorders>
            <w:shd w:val="clear" w:color="auto" w:fill="auto"/>
            <w:vAlign w:val="center"/>
            <w:hideMark/>
          </w:tcPr>
          <w:p w14:paraId="38A130A5" w14:textId="77777777" w:rsidR="00A20361" w:rsidRPr="00DE6C9E" w:rsidRDefault="00A20361" w:rsidP="0048210B">
            <w:pPr>
              <w:jc w:val="center"/>
              <w:rPr>
                <w:sz w:val="20"/>
                <w:szCs w:val="20"/>
              </w:rPr>
            </w:pPr>
            <w:r w:rsidRPr="00DE6C9E">
              <w:rPr>
                <w:sz w:val="20"/>
                <w:szCs w:val="20"/>
              </w:rPr>
              <w:t>-0.250***</w:t>
            </w:r>
          </w:p>
        </w:tc>
        <w:tc>
          <w:tcPr>
            <w:tcW w:w="1251" w:type="dxa"/>
            <w:tcBorders>
              <w:top w:val="single" w:sz="4" w:space="0" w:color="auto"/>
            </w:tcBorders>
            <w:shd w:val="clear" w:color="auto" w:fill="auto"/>
            <w:vAlign w:val="center"/>
            <w:hideMark/>
          </w:tcPr>
          <w:p w14:paraId="1AD3ECB5" w14:textId="77777777" w:rsidR="00A20361" w:rsidRPr="00DE6C9E" w:rsidRDefault="00A20361" w:rsidP="0048210B">
            <w:pPr>
              <w:jc w:val="center"/>
              <w:rPr>
                <w:sz w:val="20"/>
                <w:szCs w:val="20"/>
              </w:rPr>
            </w:pPr>
            <w:r w:rsidRPr="00DE6C9E">
              <w:rPr>
                <w:sz w:val="20"/>
                <w:szCs w:val="20"/>
              </w:rPr>
              <w:t>-0.064</w:t>
            </w:r>
          </w:p>
        </w:tc>
        <w:tc>
          <w:tcPr>
            <w:tcW w:w="1251" w:type="dxa"/>
            <w:tcBorders>
              <w:top w:val="single" w:sz="4" w:space="0" w:color="auto"/>
            </w:tcBorders>
            <w:shd w:val="clear" w:color="auto" w:fill="auto"/>
            <w:vAlign w:val="center"/>
            <w:hideMark/>
          </w:tcPr>
          <w:p w14:paraId="4F2C8929" w14:textId="77777777" w:rsidR="00A20361" w:rsidRPr="00DE6C9E" w:rsidRDefault="00A20361" w:rsidP="0048210B">
            <w:pPr>
              <w:jc w:val="center"/>
              <w:rPr>
                <w:sz w:val="20"/>
                <w:szCs w:val="20"/>
              </w:rPr>
            </w:pPr>
            <w:r w:rsidRPr="00DE6C9E">
              <w:rPr>
                <w:sz w:val="20"/>
                <w:szCs w:val="20"/>
              </w:rPr>
              <w:t>-0.002</w:t>
            </w:r>
          </w:p>
        </w:tc>
        <w:tc>
          <w:tcPr>
            <w:tcW w:w="1487" w:type="dxa"/>
            <w:tcBorders>
              <w:top w:val="single" w:sz="4" w:space="0" w:color="auto"/>
            </w:tcBorders>
            <w:shd w:val="clear" w:color="auto" w:fill="auto"/>
            <w:vAlign w:val="center"/>
            <w:hideMark/>
          </w:tcPr>
          <w:p w14:paraId="7A96C694" w14:textId="77777777" w:rsidR="00A20361" w:rsidRPr="00DE6C9E" w:rsidRDefault="00A20361" w:rsidP="0048210B">
            <w:pPr>
              <w:jc w:val="center"/>
              <w:rPr>
                <w:sz w:val="20"/>
                <w:szCs w:val="20"/>
              </w:rPr>
            </w:pPr>
            <w:r w:rsidRPr="00DE6C9E">
              <w:rPr>
                <w:sz w:val="20"/>
                <w:szCs w:val="20"/>
              </w:rPr>
              <w:t>-0.183**</w:t>
            </w:r>
          </w:p>
        </w:tc>
      </w:tr>
      <w:tr w:rsidR="00A20361" w14:paraId="376A48B7" w14:textId="77777777" w:rsidTr="001B7E3E">
        <w:trPr>
          <w:trHeight w:val="320"/>
        </w:trPr>
        <w:tc>
          <w:tcPr>
            <w:tcW w:w="3019" w:type="dxa"/>
            <w:shd w:val="clear" w:color="auto" w:fill="auto"/>
            <w:noWrap/>
            <w:vAlign w:val="bottom"/>
            <w:hideMark/>
          </w:tcPr>
          <w:p w14:paraId="786DBF53" w14:textId="77777777" w:rsidR="00A20361" w:rsidRPr="00DE6C9E" w:rsidRDefault="00A20361" w:rsidP="0048210B">
            <w:pPr>
              <w:rPr>
                <w:sz w:val="20"/>
                <w:szCs w:val="20"/>
              </w:rPr>
            </w:pPr>
          </w:p>
        </w:tc>
        <w:tc>
          <w:tcPr>
            <w:tcW w:w="1337" w:type="dxa"/>
            <w:shd w:val="clear" w:color="auto" w:fill="auto"/>
            <w:noWrap/>
            <w:vAlign w:val="center"/>
            <w:hideMark/>
          </w:tcPr>
          <w:p w14:paraId="2551D5FB" w14:textId="77777777" w:rsidR="00A20361" w:rsidRPr="00DE6C9E" w:rsidRDefault="00A20361" w:rsidP="0048210B">
            <w:pPr>
              <w:jc w:val="center"/>
              <w:rPr>
                <w:sz w:val="20"/>
                <w:szCs w:val="20"/>
              </w:rPr>
            </w:pPr>
            <w:r w:rsidRPr="00DE6C9E">
              <w:rPr>
                <w:sz w:val="20"/>
                <w:szCs w:val="20"/>
              </w:rPr>
              <w:t>(0.064)</w:t>
            </w:r>
          </w:p>
        </w:tc>
        <w:tc>
          <w:tcPr>
            <w:tcW w:w="1251" w:type="dxa"/>
            <w:shd w:val="clear" w:color="auto" w:fill="auto"/>
            <w:vAlign w:val="center"/>
            <w:hideMark/>
          </w:tcPr>
          <w:p w14:paraId="4F8AB75A" w14:textId="77777777" w:rsidR="00A20361" w:rsidRPr="00DE6C9E" w:rsidRDefault="00A20361" w:rsidP="0048210B">
            <w:pPr>
              <w:jc w:val="center"/>
              <w:rPr>
                <w:sz w:val="20"/>
                <w:szCs w:val="20"/>
              </w:rPr>
            </w:pPr>
            <w:r w:rsidRPr="00DE6C9E">
              <w:rPr>
                <w:sz w:val="20"/>
                <w:szCs w:val="20"/>
              </w:rPr>
              <w:t>(0.075)</w:t>
            </w:r>
          </w:p>
        </w:tc>
        <w:tc>
          <w:tcPr>
            <w:tcW w:w="1251" w:type="dxa"/>
            <w:shd w:val="clear" w:color="auto" w:fill="auto"/>
            <w:vAlign w:val="center"/>
            <w:hideMark/>
          </w:tcPr>
          <w:p w14:paraId="17A8E83E" w14:textId="77777777" w:rsidR="00A20361" w:rsidRPr="00DE6C9E" w:rsidRDefault="00A20361" w:rsidP="0048210B">
            <w:pPr>
              <w:jc w:val="center"/>
              <w:rPr>
                <w:sz w:val="20"/>
                <w:szCs w:val="20"/>
              </w:rPr>
            </w:pPr>
            <w:r w:rsidRPr="00DE6C9E">
              <w:rPr>
                <w:sz w:val="20"/>
                <w:szCs w:val="20"/>
              </w:rPr>
              <w:t>(0.048)</w:t>
            </w:r>
          </w:p>
        </w:tc>
        <w:tc>
          <w:tcPr>
            <w:tcW w:w="1251" w:type="dxa"/>
            <w:shd w:val="clear" w:color="auto" w:fill="auto"/>
            <w:vAlign w:val="center"/>
            <w:hideMark/>
          </w:tcPr>
          <w:p w14:paraId="45E23F41" w14:textId="77777777" w:rsidR="00A20361" w:rsidRPr="00DE6C9E" w:rsidRDefault="00A20361" w:rsidP="0048210B">
            <w:pPr>
              <w:jc w:val="center"/>
              <w:rPr>
                <w:sz w:val="20"/>
                <w:szCs w:val="20"/>
              </w:rPr>
            </w:pPr>
            <w:r w:rsidRPr="00DE6C9E">
              <w:rPr>
                <w:sz w:val="20"/>
                <w:szCs w:val="20"/>
              </w:rPr>
              <w:t>(0.008)</w:t>
            </w:r>
          </w:p>
        </w:tc>
        <w:tc>
          <w:tcPr>
            <w:tcW w:w="1487" w:type="dxa"/>
            <w:shd w:val="clear" w:color="auto" w:fill="auto"/>
            <w:vAlign w:val="center"/>
            <w:hideMark/>
          </w:tcPr>
          <w:p w14:paraId="13A18B50" w14:textId="77777777" w:rsidR="00A20361" w:rsidRPr="00DE6C9E" w:rsidRDefault="00A20361" w:rsidP="0048210B">
            <w:pPr>
              <w:jc w:val="center"/>
              <w:rPr>
                <w:sz w:val="20"/>
                <w:szCs w:val="20"/>
              </w:rPr>
            </w:pPr>
            <w:r w:rsidRPr="00DE6C9E">
              <w:rPr>
                <w:sz w:val="20"/>
                <w:szCs w:val="20"/>
              </w:rPr>
              <w:t>(0.062)</w:t>
            </w:r>
          </w:p>
        </w:tc>
      </w:tr>
      <w:tr w:rsidR="00A20361" w14:paraId="0DEA5FA2" w14:textId="77777777" w:rsidTr="001B7E3E">
        <w:trPr>
          <w:trHeight w:val="144"/>
        </w:trPr>
        <w:tc>
          <w:tcPr>
            <w:tcW w:w="3019" w:type="dxa"/>
            <w:tcBorders>
              <w:bottom w:val="single" w:sz="4" w:space="0" w:color="auto"/>
            </w:tcBorders>
            <w:shd w:val="clear" w:color="auto" w:fill="auto"/>
            <w:noWrap/>
            <w:vAlign w:val="bottom"/>
            <w:hideMark/>
          </w:tcPr>
          <w:p w14:paraId="0374675B" w14:textId="77777777" w:rsidR="00A20361" w:rsidRPr="00DE6C9E" w:rsidRDefault="00A20361" w:rsidP="0048210B">
            <w:pPr>
              <w:rPr>
                <w:sz w:val="20"/>
                <w:szCs w:val="20"/>
              </w:rPr>
            </w:pPr>
            <w:r w:rsidRPr="00DE6C9E">
              <w:rPr>
                <w:sz w:val="20"/>
                <w:szCs w:val="20"/>
              </w:rPr>
              <w:t>R-squared</w:t>
            </w:r>
          </w:p>
        </w:tc>
        <w:tc>
          <w:tcPr>
            <w:tcW w:w="1337" w:type="dxa"/>
            <w:tcBorders>
              <w:bottom w:val="single" w:sz="4" w:space="0" w:color="auto"/>
            </w:tcBorders>
            <w:shd w:val="clear" w:color="auto" w:fill="auto"/>
            <w:noWrap/>
            <w:vAlign w:val="bottom"/>
            <w:hideMark/>
          </w:tcPr>
          <w:p w14:paraId="23ADBD7E" w14:textId="77777777" w:rsidR="00A20361" w:rsidRPr="00DE6C9E" w:rsidRDefault="00A20361" w:rsidP="0048210B">
            <w:pPr>
              <w:jc w:val="center"/>
              <w:rPr>
                <w:sz w:val="20"/>
                <w:szCs w:val="20"/>
              </w:rPr>
            </w:pPr>
            <w:r w:rsidRPr="00DE6C9E">
              <w:rPr>
                <w:sz w:val="20"/>
                <w:szCs w:val="20"/>
              </w:rPr>
              <w:t>0.287</w:t>
            </w:r>
          </w:p>
        </w:tc>
        <w:tc>
          <w:tcPr>
            <w:tcW w:w="1251" w:type="dxa"/>
            <w:tcBorders>
              <w:bottom w:val="single" w:sz="4" w:space="0" w:color="auto"/>
            </w:tcBorders>
            <w:shd w:val="clear" w:color="auto" w:fill="auto"/>
            <w:noWrap/>
            <w:vAlign w:val="bottom"/>
            <w:hideMark/>
          </w:tcPr>
          <w:p w14:paraId="5B4B3D6C" w14:textId="77777777" w:rsidR="00A20361" w:rsidRPr="00DE6C9E" w:rsidRDefault="00A20361" w:rsidP="0048210B">
            <w:pPr>
              <w:jc w:val="center"/>
              <w:rPr>
                <w:sz w:val="20"/>
                <w:szCs w:val="20"/>
              </w:rPr>
            </w:pPr>
            <w:r w:rsidRPr="00DE6C9E">
              <w:rPr>
                <w:sz w:val="20"/>
                <w:szCs w:val="20"/>
              </w:rPr>
              <w:t>0.285</w:t>
            </w:r>
          </w:p>
        </w:tc>
        <w:tc>
          <w:tcPr>
            <w:tcW w:w="1251" w:type="dxa"/>
            <w:tcBorders>
              <w:bottom w:val="single" w:sz="4" w:space="0" w:color="auto"/>
            </w:tcBorders>
            <w:shd w:val="clear" w:color="auto" w:fill="auto"/>
            <w:noWrap/>
            <w:vAlign w:val="bottom"/>
            <w:hideMark/>
          </w:tcPr>
          <w:p w14:paraId="70805057" w14:textId="77777777" w:rsidR="00A20361" w:rsidRPr="00DE6C9E" w:rsidRDefault="00A20361" w:rsidP="0048210B">
            <w:pPr>
              <w:jc w:val="center"/>
              <w:rPr>
                <w:sz w:val="20"/>
                <w:szCs w:val="20"/>
              </w:rPr>
            </w:pPr>
            <w:r w:rsidRPr="00DE6C9E">
              <w:rPr>
                <w:sz w:val="20"/>
                <w:szCs w:val="20"/>
              </w:rPr>
              <w:t>0.252</w:t>
            </w:r>
          </w:p>
        </w:tc>
        <w:tc>
          <w:tcPr>
            <w:tcW w:w="1251" w:type="dxa"/>
            <w:tcBorders>
              <w:bottom w:val="single" w:sz="4" w:space="0" w:color="auto"/>
            </w:tcBorders>
            <w:shd w:val="clear" w:color="auto" w:fill="auto"/>
            <w:noWrap/>
            <w:vAlign w:val="bottom"/>
            <w:hideMark/>
          </w:tcPr>
          <w:p w14:paraId="05972055" w14:textId="77777777" w:rsidR="00A20361" w:rsidRPr="00DE6C9E" w:rsidRDefault="00A20361" w:rsidP="0048210B">
            <w:pPr>
              <w:jc w:val="center"/>
              <w:rPr>
                <w:sz w:val="20"/>
                <w:szCs w:val="20"/>
              </w:rPr>
            </w:pPr>
            <w:r w:rsidRPr="00DE6C9E">
              <w:rPr>
                <w:sz w:val="20"/>
                <w:szCs w:val="20"/>
              </w:rPr>
              <w:t>0.202</w:t>
            </w:r>
          </w:p>
        </w:tc>
        <w:tc>
          <w:tcPr>
            <w:tcW w:w="1487" w:type="dxa"/>
            <w:tcBorders>
              <w:bottom w:val="single" w:sz="4" w:space="0" w:color="auto"/>
            </w:tcBorders>
            <w:shd w:val="clear" w:color="auto" w:fill="auto"/>
            <w:noWrap/>
            <w:vAlign w:val="bottom"/>
            <w:hideMark/>
          </w:tcPr>
          <w:p w14:paraId="11C000C6" w14:textId="77777777" w:rsidR="00A20361" w:rsidRPr="00DE6C9E" w:rsidRDefault="00A20361" w:rsidP="0048210B">
            <w:pPr>
              <w:jc w:val="center"/>
              <w:rPr>
                <w:sz w:val="20"/>
                <w:szCs w:val="20"/>
              </w:rPr>
            </w:pPr>
            <w:r w:rsidRPr="00DE6C9E">
              <w:rPr>
                <w:sz w:val="20"/>
                <w:szCs w:val="20"/>
              </w:rPr>
              <w:t>0.258</w:t>
            </w:r>
          </w:p>
        </w:tc>
      </w:tr>
      <w:tr w:rsidR="00A20361" w14:paraId="42E7493D" w14:textId="77777777" w:rsidTr="001B7E3E">
        <w:trPr>
          <w:trHeight w:val="320"/>
        </w:trPr>
        <w:tc>
          <w:tcPr>
            <w:tcW w:w="9596" w:type="dxa"/>
            <w:gridSpan w:val="6"/>
            <w:tcBorders>
              <w:top w:val="single" w:sz="4" w:space="0" w:color="auto"/>
              <w:bottom w:val="single" w:sz="4" w:space="0" w:color="auto"/>
            </w:tcBorders>
            <w:shd w:val="clear" w:color="auto" w:fill="auto"/>
            <w:noWrap/>
            <w:vAlign w:val="bottom"/>
            <w:hideMark/>
          </w:tcPr>
          <w:p w14:paraId="4CB47B34" w14:textId="29B63906" w:rsidR="00A20361" w:rsidRPr="00EB0079" w:rsidRDefault="00A20361" w:rsidP="001B7E3E">
            <w:pPr>
              <w:pStyle w:val="NormalWeb"/>
              <w:shd w:val="clear" w:color="auto" w:fill="FFFFFF"/>
            </w:pPr>
            <w:r w:rsidRPr="00DE6C9E">
              <w:rPr>
                <w:sz w:val="20"/>
                <w:szCs w:val="20"/>
              </w:rPr>
              <w:t xml:space="preserve">Panel B: Net Chinese import per worker (2SLS) </w:t>
            </w:r>
          </w:p>
        </w:tc>
      </w:tr>
      <w:tr w:rsidR="00A20361" w14:paraId="7DAE2F95" w14:textId="77777777" w:rsidTr="001B7E3E">
        <w:trPr>
          <w:trHeight w:val="320"/>
        </w:trPr>
        <w:tc>
          <w:tcPr>
            <w:tcW w:w="3019" w:type="dxa"/>
            <w:tcBorders>
              <w:top w:val="single" w:sz="4" w:space="0" w:color="auto"/>
            </w:tcBorders>
            <w:shd w:val="clear" w:color="auto" w:fill="auto"/>
            <w:noWrap/>
            <w:vAlign w:val="bottom"/>
            <w:hideMark/>
          </w:tcPr>
          <w:p w14:paraId="3DF190B6" w14:textId="77777777" w:rsidR="00A20361" w:rsidRPr="00DE6C9E" w:rsidRDefault="00157748" w:rsidP="0048210B">
            <w:pP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337" w:type="dxa"/>
            <w:tcBorders>
              <w:top w:val="single" w:sz="4" w:space="0" w:color="auto"/>
            </w:tcBorders>
            <w:shd w:val="clear" w:color="auto" w:fill="auto"/>
            <w:noWrap/>
            <w:vAlign w:val="bottom"/>
            <w:hideMark/>
          </w:tcPr>
          <w:p w14:paraId="77497101" w14:textId="77777777" w:rsidR="00A20361" w:rsidRPr="00DE6C9E" w:rsidRDefault="00A20361" w:rsidP="0048210B">
            <w:pPr>
              <w:jc w:val="center"/>
              <w:rPr>
                <w:sz w:val="20"/>
                <w:szCs w:val="20"/>
              </w:rPr>
            </w:pPr>
            <w:r w:rsidRPr="00DE6C9E">
              <w:rPr>
                <w:sz w:val="20"/>
                <w:szCs w:val="20"/>
              </w:rPr>
              <w:t>-0.95**</w:t>
            </w:r>
          </w:p>
        </w:tc>
        <w:tc>
          <w:tcPr>
            <w:tcW w:w="1251" w:type="dxa"/>
            <w:tcBorders>
              <w:top w:val="single" w:sz="4" w:space="0" w:color="auto"/>
            </w:tcBorders>
            <w:shd w:val="clear" w:color="auto" w:fill="auto"/>
            <w:noWrap/>
            <w:vAlign w:val="bottom"/>
            <w:hideMark/>
          </w:tcPr>
          <w:p w14:paraId="578119DD" w14:textId="77777777" w:rsidR="00A20361" w:rsidRPr="00DE6C9E" w:rsidRDefault="00A20361" w:rsidP="0048210B">
            <w:pPr>
              <w:jc w:val="center"/>
              <w:rPr>
                <w:sz w:val="20"/>
                <w:szCs w:val="20"/>
              </w:rPr>
            </w:pPr>
            <w:r w:rsidRPr="00DE6C9E">
              <w:rPr>
                <w:sz w:val="20"/>
                <w:szCs w:val="20"/>
              </w:rPr>
              <w:t>-0.87*</w:t>
            </w:r>
          </w:p>
        </w:tc>
        <w:tc>
          <w:tcPr>
            <w:tcW w:w="1251" w:type="dxa"/>
            <w:tcBorders>
              <w:top w:val="single" w:sz="4" w:space="0" w:color="auto"/>
            </w:tcBorders>
            <w:shd w:val="clear" w:color="auto" w:fill="auto"/>
            <w:noWrap/>
            <w:vAlign w:val="bottom"/>
            <w:hideMark/>
          </w:tcPr>
          <w:p w14:paraId="0ECA1FB6" w14:textId="77777777" w:rsidR="00A20361" w:rsidRPr="00DE6C9E" w:rsidRDefault="00A20361" w:rsidP="0048210B">
            <w:pPr>
              <w:jc w:val="center"/>
              <w:rPr>
                <w:sz w:val="20"/>
                <w:szCs w:val="20"/>
              </w:rPr>
            </w:pPr>
            <w:r w:rsidRPr="00DE6C9E">
              <w:rPr>
                <w:sz w:val="20"/>
                <w:szCs w:val="20"/>
              </w:rPr>
              <w:t>-0.03</w:t>
            </w:r>
          </w:p>
        </w:tc>
        <w:tc>
          <w:tcPr>
            <w:tcW w:w="1251" w:type="dxa"/>
            <w:tcBorders>
              <w:top w:val="single" w:sz="4" w:space="0" w:color="auto"/>
            </w:tcBorders>
            <w:shd w:val="clear" w:color="auto" w:fill="auto"/>
            <w:noWrap/>
            <w:vAlign w:val="bottom"/>
            <w:hideMark/>
          </w:tcPr>
          <w:p w14:paraId="7B2F3639" w14:textId="77777777" w:rsidR="00A20361" w:rsidRPr="00DE6C9E" w:rsidRDefault="00A20361" w:rsidP="0048210B">
            <w:pPr>
              <w:jc w:val="center"/>
              <w:rPr>
                <w:sz w:val="20"/>
                <w:szCs w:val="20"/>
              </w:rPr>
            </w:pPr>
            <w:r w:rsidRPr="00DE6C9E">
              <w:rPr>
                <w:sz w:val="20"/>
                <w:szCs w:val="20"/>
              </w:rPr>
              <w:t>0.01</w:t>
            </w:r>
          </w:p>
        </w:tc>
        <w:tc>
          <w:tcPr>
            <w:tcW w:w="1487" w:type="dxa"/>
            <w:tcBorders>
              <w:top w:val="single" w:sz="4" w:space="0" w:color="auto"/>
            </w:tcBorders>
            <w:shd w:val="clear" w:color="auto" w:fill="auto"/>
            <w:noWrap/>
            <w:vAlign w:val="bottom"/>
            <w:hideMark/>
          </w:tcPr>
          <w:p w14:paraId="5D400FE2" w14:textId="77777777" w:rsidR="00A20361" w:rsidRPr="00DE6C9E" w:rsidRDefault="00A20361" w:rsidP="0048210B">
            <w:pPr>
              <w:jc w:val="center"/>
              <w:rPr>
                <w:sz w:val="20"/>
                <w:szCs w:val="20"/>
              </w:rPr>
            </w:pPr>
            <w:r w:rsidRPr="00DE6C9E">
              <w:rPr>
                <w:sz w:val="20"/>
                <w:szCs w:val="20"/>
              </w:rPr>
              <w:t>-0.84**</w:t>
            </w:r>
          </w:p>
        </w:tc>
      </w:tr>
      <w:tr w:rsidR="00A20361" w14:paraId="27C5F369" w14:textId="77777777" w:rsidTr="001B7E3E">
        <w:trPr>
          <w:trHeight w:val="320"/>
        </w:trPr>
        <w:tc>
          <w:tcPr>
            <w:tcW w:w="3019" w:type="dxa"/>
            <w:shd w:val="clear" w:color="auto" w:fill="auto"/>
            <w:noWrap/>
            <w:vAlign w:val="bottom"/>
            <w:hideMark/>
          </w:tcPr>
          <w:p w14:paraId="1E646935" w14:textId="77777777" w:rsidR="00A20361" w:rsidRPr="00DE6C9E" w:rsidRDefault="00A20361" w:rsidP="0048210B">
            <w:pPr>
              <w:rPr>
                <w:sz w:val="20"/>
                <w:szCs w:val="20"/>
              </w:rPr>
            </w:pPr>
          </w:p>
        </w:tc>
        <w:tc>
          <w:tcPr>
            <w:tcW w:w="1337" w:type="dxa"/>
            <w:shd w:val="clear" w:color="auto" w:fill="auto"/>
            <w:noWrap/>
            <w:vAlign w:val="bottom"/>
            <w:hideMark/>
          </w:tcPr>
          <w:p w14:paraId="0D24D652" w14:textId="77777777" w:rsidR="00A20361" w:rsidRPr="00DE6C9E" w:rsidRDefault="00A20361" w:rsidP="0048210B">
            <w:pPr>
              <w:jc w:val="center"/>
              <w:rPr>
                <w:sz w:val="20"/>
                <w:szCs w:val="20"/>
              </w:rPr>
            </w:pPr>
            <w:r w:rsidRPr="00DE6C9E">
              <w:rPr>
                <w:sz w:val="20"/>
                <w:szCs w:val="20"/>
              </w:rPr>
              <w:t>(0.32)</w:t>
            </w:r>
          </w:p>
        </w:tc>
        <w:tc>
          <w:tcPr>
            <w:tcW w:w="1251" w:type="dxa"/>
            <w:shd w:val="clear" w:color="auto" w:fill="auto"/>
            <w:noWrap/>
            <w:vAlign w:val="bottom"/>
            <w:hideMark/>
          </w:tcPr>
          <w:p w14:paraId="593EC6E1" w14:textId="77777777" w:rsidR="00A20361" w:rsidRPr="00DE6C9E" w:rsidRDefault="00A20361" w:rsidP="0048210B">
            <w:pPr>
              <w:jc w:val="center"/>
              <w:rPr>
                <w:sz w:val="20"/>
                <w:szCs w:val="20"/>
              </w:rPr>
            </w:pPr>
            <w:r w:rsidRPr="00DE6C9E">
              <w:rPr>
                <w:sz w:val="20"/>
                <w:szCs w:val="20"/>
              </w:rPr>
              <w:t>(0.37)</w:t>
            </w:r>
          </w:p>
        </w:tc>
        <w:tc>
          <w:tcPr>
            <w:tcW w:w="1251" w:type="dxa"/>
            <w:shd w:val="clear" w:color="auto" w:fill="auto"/>
            <w:noWrap/>
            <w:vAlign w:val="bottom"/>
            <w:hideMark/>
          </w:tcPr>
          <w:p w14:paraId="58607D54" w14:textId="77777777" w:rsidR="00A20361" w:rsidRPr="00DE6C9E" w:rsidRDefault="00A20361" w:rsidP="0048210B">
            <w:pPr>
              <w:jc w:val="center"/>
              <w:rPr>
                <w:sz w:val="20"/>
                <w:szCs w:val="20"/>
              </w:rPr>
            </w:pPr>
            <w:r w:rsidRPr="00DE6C9E">
              <w:rPr>
                <w:sz w:val="20"/>
                <w:szCs w:val="20"/>
              </w:rPr>
              <w:t>(0.30)</w:t>
            </w:r>
          </w:p>
        </w:tc>
        <w:tc>
          <w:tcPr>
            <w:tcW w:w="1251" w:type="dxa"/>
            <w:shd w:val="clear" w:color="auto" w:fill="auto"/>
            <w:noWrap/>
            <w:vAlign w:val="bottom"/>
            <w:hideMark/>
          </w:tcPr>
          <w:p w14:paraId="08B4E652" w14:textId="77777777" w:rsidR="00A20361" w:rsidRPr="00DE6C9E" w:rsidRDefault="00A20361" w:rsidP="0048210B">
            <w:pPr>
              <w:jc w:val="center"/>
              <w:rPr>
                <w:sz w:val="20"/>
                <w:szCs w:val="20"/>
              </w:rPr>
            </w:pPr>
            <w:r w:rsidRPr="00DE6C9E">
              <w:rPr>
                <w:sz w:val="20"/>
                <w:szCs w:val="20"/>
              </w:rPr>
              <w:t>(0.04)</w:t>
            </w:r>
          </w:p>
        </w:tc>
        <w:tc>
          <w:tcPr>
            <w:tcW w:w="1487" w:type="dxa"/>
            <w:shd w:val="clear" w:color="auto" w:fill="auto"/>
            <w:noWrap/>
            <w:vAlign w:val="bottom"/>
            <w:hideMark/>
          </w:tcPr>
          <w:p w14:paraId="1EF4935C" w14:textId="77777777" w:rsidR="00A20361" w:rsidRPr="00DE6C9E" w:rsidRDefault="00A20361" w:rsidP="0048210B">
            <w:pPr>
              <w:jc w:val="center"/>
              <w:rPr>
                <w:sz w:val="20"/>
                <w:szCs w:val="20"/>
              </w:rPr>
            </w:pPr>
            <w:r w:rsidRPr="00DE6C9E">
              <w:rPr>
                <w:sz w:val="20"/>
                <w:szCs w:val="20"/>
              </w:rPr>
              <w:t>(0.30)</w:t>
            </w:r>
          </w:p>
        </w:tc>
      </w:tr>
      <w:tr w:rsidR="00A20361" w14:paraId="2B53DB94" w14:textId="77777777" w:rsidTr="001B7E3E">
        <w:trPr>
          <w:trHeight w:val="320"/>
        </w:trPr>
        <w:tc>
          <w:tcPr>
            <w:tcW w:w="3019" w:type="dxa"/>
            <w:tcBorders>
              <w:bottom w:val="single" w:sz="4" w:space="0" w:color="auto"/>
            </w:tcBorders>
            <w:shd w:val="clear" w:color="auto" w:fill="auto"/>
            <w:noWrap/>
            <w:vAlign w:val="bottom"/>
            <w:hideMark/>
          </w:tcPr>
          <w:p w14:paraId="7017C574" w14:textId="77777777" w:rsidR="00A20361" w:rsidRPr="00DE6C9E" w:rsidRDefault="00A20361" w:rsidP="0048210B">
            <w:pPr>
              <w:rPr>
                <w:sz w:val="20"/>
                <w:szCs w:val="20"/>
              </w:rPr>
            </w:pPr>
            <w:r w:rsidRPr="00DE6C9E">
              <w:rPr>
                <w:sz w:val="20"/>
                <w:szCs w:val="20"/>
              </w:rPr>
              <w:t>R-squared</w:t>
            </w:r>
          </w:p>
        </w:tc>
        <w:tc>
          <w:tcPr>
            <w:tcW w:w="1337" w:type="dxa"/>
            <w:tcBorders>
              <w:bottom w:val="single" w:sz="4" w:space="0" w:color="auto"/>
            </w:tcBorders>
            <w:shd w:val="clear" w:color="auto" w:fill="auto"/>
            <w:noWrap/>
            <w:vAlign w:val="bottom"/>
            <w:hideMark/>
          </w:tcPr>
          <w:p w14:paraId="5AFEE9D3" w14:textId="77777777" w:rsidR="00A20361" w:rsidRPr="00DE6C9E" w:rsidRDefault="00A20361" w:rsidP="0048210B">
            <w:pPr>
              <w:jc w:val="center"/>
              <w:rPr>
                <w:sz w:val="20"/>
                <w:szCs w:val="20"/>
              </w:rPr>
            </w:pPr>
            <w:r w:rsidRPr="00DE6C9E">
              <w:rPr>
                <w:sz w:val="20"/>
                <w:szCs w:val="20"/>
              </w:rPr>
              <w:t>0.28</w:t>
            </w:r>
          </w:p>
        </w:tc>
        <w:tc>
          <w:tcPr>
            <w:tcW w:w="1251" w:type="dxa"/>
            <w:tcBorders>
              <w:bottom w:val="single" w:sz="4" w:space="0" w:color="auto"/>
            </w:tcBorders>
            <w:shd w:val="clear" w:color="auto" w:fill="auto"/>
            <w:noWrap/>
            <w:vAlign w:val="bottom"/>
            <w:hideMark/>
          </w:tcPr>
          <w:p w14:paraId="005D3912" w14:textId="77777777" w:rsidR="00A20361" w:rsidRPr="00DE6C9E" w:rsidRDefault="00A20361" w:rsidP="0048210B">
            <w:pPr>
              <w:jc w:val="center"/>
              <w:rPr>
                <w:sz w:val="20"/>
                <w:szCs w:val="20"/>
              </w:rPr>
            </w:pPr>
            <w:r w:rsidRPr="00DE6C9E">
              <w:rPr>
                <w:sz w:val="20"/>
                <w:szCs w:val="20"/>
              </w:rPr>
              <w:t>0.29</w:t>
            </w:r>
          </w:p>
        </w:tc>
        <w:tc>
          <w:tcPr>
            <w:tcW w:w="1251" w:type="dxa"/>
            <w:tcBorders>
              <w:bottom w:val="single" w:sz="4" w:space="0" w:color="auto"/>
            </w:tcBorders>
            <w:shd w:val="clear" w:color="auto" w:fill="auto"/>
            <w:noWrap/>
            <w:vAlign w:val="bottom"/>
            <w:hideMark/>
          </w:tcPr>
          <w:p w14:paraId="13630CDB" w14:textId="77777777" w:rsidR="00A20361" w:rsidRPr="00DE6C9E" w:rsidRDefault="00A20361" w:rsidP="0048210B">
            <w:pPr>
              <w:jc w:val="center"/>
              <w:rPr>
                <w:sz w:val="20"/>
                <w:szCs w:val="20"/>
              </w:rPr>
            </w:pPr>
            <w:r w:rsidRPr="00DE6C9E">
              <w:rPr>
                <w:sz w:val="20"/>
                <w:szCs w:val="20"/>
              </w:rPr>
              <w:t>0.25</w:t>
            </w:r>
          </w:p>
        </w:tc>
        <w:tc>
          <w:tcPr>
            <w:tcW w:w="1251" w:type="dxa"/>
            <w:tcBorders>
              <w:bottom w:val="single" w:sz="4" w:space="0" w:color="auto"/>
            </w:tcBorders>
            <w:shd w:val="clear" w:color="auto" w:fill="auto"/>
            <w:noWrap/>
            <w:vAlign w:val="bottom"/>
            <w:hideMark/>
          </w:tcPr>
          <w:p w14:paraId="59F0F291" w14:textId="77777777" w:rsidR="00A20361" w:rsidRPr="00DE6C9E" w:rsidRDefault="00A20361" w:rsidP="0048210B">
            <w:pPr>
              <w:jc w:val="center"/>
              <w:rPr>
                <w:sz w:val="20"/>
                <w:szCs w:val="20"/>
              </w:rPr>
            </w:pPr>
            <w:r w:rsidRPr="00DE6C9E">
              <w:rPr>
                <w:sz w:val="20"/>
                <w:szCs w:val="20"/>
              </w:rPr>
              <w:t>0.22</w:t>
            </w:r>
          </w:p>
        </w:tc>
        <w:tc>
          <w:tcPr>
            <w:tcW w:w="1487" w:type="dxa"/>
            <w:tcBorders>
              <w:bottom w:val="single" w:sz="4" w:space="0" w:color="auto"/>
            </w:tcBorders>
            <w:shd w:val="clear" w:color="auto" w:fill="auto"/>
            <w:noWrap/>
            <w:vAlign w:val="bottom"/>
            <w:hideMark/>
          </w:tcPr>
          <w:p w14:paraId="0B96980D" w14:textId="77777777" w:rsidR="00A20361" w:rsidRPr="00DE6C9E" w:rsidRDefault="00A20361" w:rsidP="0048210B">
            <w:pPr>
              <w:jc w:val="center"/>
              <w:rPr>
                <w:sz w:val="20"/>
                <w:szCs w:val="20"/>
              </w:rPr>
            </w:pPr>
            <w:r w:rsidRPr="00DE6C9E">
              <w:rPr>
                <w:sz w:val="20"/>
                <w:szCs w:val="20"/>
              </w:rPr>
              <w:t>0.27</w:t>
            </w:r>
          </w:p>
        </w:tc>
      </w:tr>
      <w:tr w:rsidR="00A20361" w14:paraId="79262FBE" w14:textId="77777777" w:rsidTr="001B7E3E">
        <w:trPr>
          <w:trHeight w:val="320"/>
        </w:trPr>
        <w:tc>
          <w:tcPr>
            <w:tcW w:w="9596" w:type="dxa"/>
            <w:gridSpan w:val="6"/>
            <w:tcBorders>
              <w:top w:val="single" w:sz="4" w:space="0" w:color="auto"/>
              <w:bottom w:val="single" w:sz="4" w:space="0" w:color="auto"/>
            </w:tcBorders>
            <w:shd w:val="clear" w:color="auto" w:fill="auto"/>
            <w:noWrap/>
            <w:vAlign w:val="bottom"/>
            <w:hideMark/>
          </w:tcPr>
          <w:p w14:paraId="4B1B80BA" w14:textId="77777777" w:rsidR="00A20361" w:rsidRDefault="00A20361" w:rsidP="0048210B">
            <w:pPr>
              <w:pStyle w:val="NormalWeb"/>
              <w:shd w:val="clear" w:color="auto" w:fill="FFFFFF"/>
              <w:rPr>
                <w:sz w:val="20"/>
                <w:szCs w:val="20"/>
              </w:rPr>
            </w:pPr>
            <w:r w:rsidRPr="00DE6C9E">
              <w:rPr>
                <w:sz w:val="20"/>
                <w:szCs w:val="20"/>
              </w:rPr>
              <w:t xml:space="preserve">Panel C: Excluding computers and related equipment </w:t>
            </w:r>
          </w:p>
        </w:tc>
      </w:tr>
      <w:tr w:rsidR="00A20361" w14:paraId="10CA69D9" w14:textId="77777777" w:rsidTr="001B7E3E">
        <w:trPr>
          <w:trHeight w:val="320"/>
        </w:trPr>
        <w:tc>
          <w:tcPr>
            <w:tcW w:w="3019" w:type="dxa"/>
            <w:tcBorders>
              <w:top w:val="single" w:sz="4" w:space="0" w:color="auto"/>
            </w:tcBorders>
            <w:shd w:val="clear" w:color="auto" w:fill="auto"/>
            <w:noWrap/>
            <w:vAlign w:val="bottom"/>
            <w:hideMark/>
          </w:tcPr>
          <w:p w14:paraId="49027380" w14:textId="77777777" w:rsidR="00A20361" w:rsidRPr="00DE6C9E" w:rsidRDefault="00157748" w:rsidP="0048210B">
            <w:pP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337" w:type="dxa"/>
            <w:tcBorders>
              <w:top w:val="single" w:sz="4" w:space="0" w:color="auto"/>
            </w:tcBorders>
            <w:shd w:val="clear" w:color="auto" w:fill="auto"/>
            <w:noWrap/>
            <w:vAlign w:val="bottom"/>
            <w:hideMark/>
          </w:tcPr>
          <w:p w14:paraId="7E15C97E" w14:textId="77777777" w:rsidR="00A20361" w:rsidRPr="00DE6C9E" w:rsidRDefault="00A20361" w:rsidP="0048210B">
            <w:pPr>
              <w:jc w:val="center"/>
              <w:rPr>
                <w:sz w:val="20"/>
                <w:szCs w:val="20"/>
              </w:rPr>
            </w:pPr>
            <w:r w:rsidRPr="00DE6C9E">
              <w:rPr>
                <w:sz w:val="20"/>
                <w:szCs w:val="20"/>
              </w:rPr>
              <w:t>-0.96***</w:t>
            </w:r>
          </w:p>
        </w:tc>
        <w:tc>
          <w:tcPr>
            <w:tcW w:w="1251" w:type="dxa"/>
            <w:tcBorders>
              <w:top w:val="single" w:sz="4" w:space="0" w:color="auto"/>
            </w:tcBorders>
            <w:shd w:val="clear" w:color="auto" w:fill="auto"/>
            <w:noWrap/>
            <w:vAlign w:val="bottom"/>
            <w:hideMark/>
          </w:tcPr>
          <w:p w14:paraId="24DFD85E" w14:textId="77777777" w:rsidR="00A20361" w:rsidRPr="00DE6C9E" w:rsidRDefault="00A20361" w:rsidP="0048210B">
            <w:pPr>
              <w:jc w:val="center"/>
              <w:rPr>
                <w:sz w:val="20"/>
                <w:szCs w:val="20"/>
              </w:rPr>
            </w:pPr>
            <w:r w:rsidRPr="00DE6C9E">
              <w:rPr>
                <w:sz w:val="20"/>
                <w:szCs w:val="20"/>
              </w:rPr>
              <w:t>-0.88**</w:t>
            </w:r>
          </w:p>
        </w:tc>
        <w:tc>
          <w:tcPr>
            <w:tcW w:w="1251" w:type="dxa"/>
            <w:tcBorders>
              <w:top w:val="single" w:sz="4" w:space="0" w:color="auto"/>
            </w:tcBorders>
            <w:shd w:val="clear" w:color="auto" w:fill="auto"/>
            <w:noWrap/>
            <w:vAlign w:val="bottom"/>
            <w:hideMark/>
          </w:tcPr>
          <w:p w14:paraId="3A7C4FB6" w14:textId="77777777" w:rsidR="00A20361" w:rsidRPr="00DE6C9E" w:rsidRDefault="00A20361" w:rsidP="0048210B">
            <w:pPr>
              <w:jc w:val="center"/>
              <w:rPr>
                <w:sz w:val="20"/>
                <w:szCs w:val="20"/>
              </w:rPr>
            </w:pPr>
            <w:r w:rsidRPr="00DE6C9E">
              <w:rPr>
                <w:sz w:val="20"/>
                <w:szCs w:val="20"/>
              </w:rPr>
              <w:t>0.06</w:t>
            </w:r>
          </w:p>
        </w:tc>
        <w:tc>
          <w:tcPr>
            <w:tcW w:w="1251" w:type="dxa"/>
            <w:tcBorders>
              <w:top w:val="single" w:sz="4" w:space="0" w:color="auto"/>
            </w:tcBorders>
            <w:shd w:val="clear" w:color="auto" w:fill="auto"/>
            <w:noWrap/>
            <w:vAlign w:val="bottom"/>
            <w:hideMark/>
          </w:tcPr>
          <w:p w14:paraId="4E0AD07C" w14:textId="77777777" w:rsidR="00A20361" w:rsidRPr="00DE6C9E" w:rsidRDefault="00A20361" w:rsidP="0048210B">
            <w:pPr>
              <w:jc w:val="center"/>
              <w:rPr>
                <w:sz w:val="20"/>
                <w:szCs w:val="20"/>
              </w:rPr>
            </w:pPr>
            <w:r w:rsidRPr="00DE6C9E">
              <w:rPr>
                <w:sz w:val="20"/>
                <w:szCs w:val="20"/>
              </w:rPr>
              <w:t>-0.02</w:t>
            </w:r>
          </w:p>
        </w:tc>
        <w:tc>
          <w:tcPr>
            <w:tcW w:w="1487" w:type="dxa"/>
            <w:tcBorders>
              <w:top w:val="single" w:sz="4" w:space="0" w:color="auto"/>
            </w:tcBorders>
            <w:shd w:val="clear" w:color="auto" w:fill="auto"/>
            <w:noWrap/>
            <w:vAlign w:val="bottom"/>
            <w:hideMark/>
          </w:tcPr>
          <w:p w14:paraId="0FECF6F2" w14:textId="77777777" w:rsidR="00A20361" w:rsidRPr="00DE6C9E" w:rsidRDefault="00A20361" w:rsidP="0048210B">
            <w:pPr>
              <w:jc w:val="center"/>
              <w:rPr>
                <w:sz w:val="20"/>
                <w:szCs w:val="20"/>
              </w:rPr>
            </w:pPr>
            <w:r w:rsidRPr="00DE6C9E">
              <w:rPr>
                <w:sz w:val="20"/>
                <w:szCs w:val="20"/>
              </w:rPr>
              <w:t>-0.92**</w:t>
            </w:r>
          </w:p>
        </w:tc>
      </w:tr>
      <w:tr w:rsidR="00A20361" w14:paraId="6C9A729D" w14:textId="77777777" w:rsidTr="001B7E3E">
        <w:trPr>
          <w:trHeight w:val="320"/>
        </w:trPr>
        <w:tc>
          <w:tcPr>
            <w:tcW w:w="3019" w:type="dxa"/>
            <w:shd w:val="clear" w:color="auto" w:fill="auto"/>
            <w:noWrap/>
            <w:vAlign w:val="bottom"/>
            <w:hideMark/>
          </w:tcPr>
          <w:p w14:paraId="404B6BB2" w14:textId="77777777" w:rsidR="00A20361" w:rsidRPr="00DE6C9E" w:rsidRDefault="00A20361" w:rsidP="0048210B">
            <w:pPr>
              <w:rPr>
                <w:sz w:val="20"/>
                <w:szCs w:val="20"/>
              </w:rPr>
            </w:pPr>
          </w:p>
        </w:tc>
        <w:tc>
          <w:tcPr>
            <w:tcW w:w="1337" w:type="dxa"/>
            <w:shd w:val="clear" w:color="auto" w:fill="auto"/>
            <w:noWrap/>
            <w:vAlign w:val="bottom"/>
            <w:hideMark/>
          </w:tcPr>
          <w:p w14:paraId="286F588B" w14:textId="77777777" w:rsidR="00A20361" w:rsidRPr="00DE6C9E" w:rsidRDefault="00A20361" w:rsidP="0048210B">
            <w:pPr>
              <w:jc w:val="center"/>
              <w:rPr>
                <w:sz w:val="20"/>
                <w:szCs w:val="20"/>
              </w:rPr>
            </w:pPr>
            <w:r w:rsidRPr="00DE6C9E">
              <w:rPr>
                <w:sz w:val="20"/>
                <w:szCs w:val="20"/>
              </w:rPr>
              <w:t>(0.26)</w:t>
            </w:r>
          </w:p>
        </w:tc>
        <w:tc>
          <w:tcPr>
            <w:tcW w:w="1251" w:type="dxa"/>
            <w:shd w:val="clear" w:color="auto" w:fill="auto"/>
            <w:noWrap/>
            <w:vAlign w:val="bottom"/>
            <w:hideMark/>
          </w:tcPr>
          <w:p w14:paraId="52A48DE8" w14:textId="77777777" w:rsidR="00A20361" w:rsidRPr="00DE6C9E" w:rsidRDefault="00A20361" w:rsidP="0048210B">
            <w:pPr>
              <w:jc w:val="center"/>
              <w:rPr>
                <w:sz w:val="20"/>
                <w:szCs w:val="20"/>
              </w:rPr>
            </w:pPr>
            <w:r w:rsidRPr="00DE6C9E">
              <w:rPr>
                <w:sz w:val="20"/>
                <w:szCs w:val="20"/>
              </w:rPr>
              <w:t>(0.31)</w:t>
            </w:r>
          </w:p>
        </w:tc>
        <w:tc>
          <w:tcPr>
            <w:tcW w:w="1251" w:type="dxa"/>
            <w:shd w:val="clear" w:color="auto" w:fill="auto"/>
            <w:noWrap/>
            <w:vAlign w:val="bottom"/>
            <w:hideMark/>
          </w:tcPr>
          <w:p w14:paraId="0DE4ED14" w14:textId="77777777" w:rsidR="00A20361" w:rsidRPr="00DE6C9E" w:rsidRDefault="00A20361" w:rsidP="0048210B">
            <w:pPr>
              <w:jc w:val="center"/>
              <w:rPr>
                <w:sz w:val="20"/>
                <w:szCs w:val="20"/>
              </w:rPr>
            </w:pPr>
            <w:r w:rsidRPr="00DE6C9E">
              <w:rPr>
                <w:sz w:val="20"/>
                <w:szCs w:val="20"/>
              </w:rPr>
              <w:t>(0.29)</w:t>
            </w:r>
          </w:p>
        </w:tc>
        <w:tc>
          <w:tcPr>
            <w:tcW w:w="1251" w:type="dxa"/>
            <w:shd w:val="clear" w:color="auto" w:fill="auto"/>
            <w:noWrap/>
            <w:vAlign w:val="bottom"/>
            <w:hideMark/>
          </w:tcPr>
          <w:p w14:paraId="2267CC0B" w14:textId="77777777" w:rsidR="00A20361" w:rsidRPr="00DE6C9E" w:rsidRDefault="00A20361" w:rsidP="0048210B">
            <w:pPr>
              <w:jc w:val="center"/>
              <w:rPr>
                <w:sz w:val="20"/>
                <w:szCs w:val="20"/>
              </w:rPr>
            </w:pPr>
            <w:r w:rsidRPr="00DE6C9E">
              <w:rPr>
                <w:sz w:val="20"/>
                <w:szCs w:val="20"/>
              </w:rPr>
              <w:t>(0.03)</w:t>
            </w:r>
          </w:p>
        </w:tc>
        <w:tc>
          <w:tcPr>
            <w:tcW w:w="1487" w:type="dxa"/>
            <w:shd w:val="clear" w:color="auto" w:fill="auto"/>
            <w:noWrap/>
            <w:vAlign w:val="bottom"/>
            <w:hideMark/>
          </w:tcPr>
          <w:p w14:paraId="030B892F" w14:textId="77777777" w:rsidR="00A20361" w:rsidRPr="00DE6C9E" w:rsidRDefault="00A20361" w:rsidP="0048210B">
            <w:pPr>
              <w:jc w:val="center"/>
              <w:rPr>
                <w:sz w:val="20"/>
                <w:szCs w:val="20"/>
              </w:rPr>
            </w:pPr>
            <w:r w:rsidRPr="00DE6C9E">
              <w:rPr>
                <w:sz w:val="20"/>
                <w:szCs w:val="20"/>
              </w:rPr>
              <w:t>(0.29)</w:t>
            </w:r>
          </w:p>
        </w:tc>
      </w:tr>
      <w:tr w:rsidR="00A20361" w14:paraId="2A8828E8" w14:textId="77777777" w:rsidTr="001B7E3E">
        <w:trPr>
          <w:trHeight w:val="81"/>
        </w:trPr>
        <w:tc>
          <w:tcPr>
            <w:tcW w:w="3019" w:type="dxa"/>
            <w:tcBorders>
              <w:bottom w:val="single" w:sz="4" w:space="0" w:color="auto"/>
            </w:tcBorders>
            <w:shd w:val="clear" w:color="auto" w:fill="auto"/>
            <w:noWrap/>
            <w:vAlign w:val="bottom"/>
            <w:hideMark/>
          </w:tcPr>
          <w:p w14:paraId="7C2BE71F" w14:textId="77777777" w:rsidR="00A20361" w:rsidRPr="00DE6C9E" w:rsidRDefault="00A20361" w:rsidP="0048210B">
            <w:pPr>
              <w:pStyle w:val="NormalWeb"/>
              <w:shd w:val="clear" w:color="auto" w:fill="FFFFFF"/>
              <w:rPr>
                <w:sz w:val="20"/>
                <w:szCs w:val="20"/>
              </w:rPr>
            </w:pPr>
            <w:r w:rsidRPr="00DE6C9E">
              <w:rPr>
                <w:sz w:val="20"/>
                <w:szCs w:val="20"/>
              </w:rPr>
              <w:t>R-squared</w:t>
            </w:r>
          </w:p>
        </w:tc>
        <w:tc>
          <w:tcPr>
            <w:tcW w:w="1337" w:type="dxa"/>
            <w:tcBorders>
              <w:bottom w:val="single" w:sz="4" w:space="0" w:color="auto"/>
            </w:tcBorders>
            <w:shd w:val="clear" w:color="auto" w:fill="auto"/>
            <w:noWrap/>
            <w:vAlign w:val="bottom"/>
            <w:hideMark/>
          </w:tcPr>
          <w:p w14:paraId="3B4E8B5F" w14:textId="77777777" w:rsidR="00A20361" w:rsidRPr="00DE6C9E" w:rsidRDefault="00A20361" w:rsidP="0048210B">
            <w:pPr>
              <w:jc w:val="center"/>
              <w:rPr>
                <w:sz w:val="20"/>
                <w:szCs w:val="20"/>
              </w:rPr>
            </w:pPr>
            <w:r w:rsidRPr="00DE6C9E">
              <w:rPr>
                <w:sz w:val="20"/>
                <w:szCs w:val="20"/>
              </w:rPr>
              <w:t>0.32</w:t>
            </w:r>
          </w:p>
        </w:tc>
        <w:tc>
          <w:tcPr>
            <w:tcW w:w="1251" w:type="dxa"/>
            <w:tcBorders>
              <w:bottom w:val="single" w:sz="4" w:space="0" w:color="auto"/>
            </w:tcBorders>
            <w:shd w:val="clear" w:color="auto" w:fill="auto"/>
            <w:noWrap/>
            <w:vAlign w:val="bottom"/>
            <w:hideMark/>
          </w:tcPr>
          <w:p w14:paraId="4F457FC5" w14:textId="77777777" w:rsidR="00A20361" w:rsidRPr="00DE6C9E" w:rsidRDefault="00A20361" w:rsidP="0048210B">
            <w:pPr>
              <w:jc w:val="center"/>
              <w:rPr>
                <w:sz w:val="20"/>
                <w:szCs w:val="20"/>
              </w:rPr>
            </w:pPr>
            <w:r w:rsidRPr="00DE6C9E">
              <w:rPr>
                <w:sz w:val="20"/>
                <w:szCs w:val="20"/>
              </w:rPr>
              <w:t>0.32</w:t>
            </w:r>
          </w:p>
        </w:tc>
        <w:tc>
          <w:tcPr>
            <w:tcW w:w="1251" w:type="dxa"/>
            <w:tcBorders>
              <w:bottom w:val="single" w:sz="4" w:space="0" w:color="auto"/>
            </w:tcBorders>
            <w:shd w:val="clear" w:color="auto" w:fill="auto"/>
            <w:noWrap/>
            <w:vAlign w:val="bottom"/>
            <w:hideMark/>
          </w:tcPr>
          <w:p w14:paraId="3843949D" w14:textId="77777777" w:rsidR="00A20361" w:rsidRPr="00DE6C9E" w:rsidRDefault="00A20361" w:rsidP="0048210B">
            <w:pPr>
              <w:jc w:val="center"/>
              <w:rPr>
                <w:sz w:val="20"/>
                <w:szCs w:val="20"/>
              </w:rPr>
            </w:pPr>
            <w:r w:rsidRPr="00DE6C9E">
              <w:rPr>
                <w:sz w:val="20"/>
                <w:szCs w:val="20"/>
              </w:rPr>
              <w:t>0.25</w:t>
            </w:r>
          </w:p>
        </w:tc>
        <w:tc>
          <w:tcPr>
            <w:tcW w:w="1251" w:type="dxa"/>
            <w:tcBorders>
              <w:bottom w:val="single" w:sz="4" w:space="0" w:color="auto"/>
            </w:tcBorders>
            <w:shd w:val="clear" w:color="auto" w:fill="auto"/>
            <w:noWrap/>
            <w:vAlign w:val="bottom"/>
            <w:hideMark/>
          </w:tcPr>
          <w:p w14:paraId="13A92208" w14:textId="77777777" w:rsidR="00A20361" w:rsidRPr="00DE6C9E" w:rsidRDefault="00A20361" w:rsidP="0048210B">
            <w:pPr>
              <w:jc w:val="center"/>
              <w:rPr>
                <w:sz w:val="20"/>
                <w:szCs w:val="20"/>
              </w:rPr>
            </w:pPr>
            <w:r w:rsidRPr="00DE6C9E">
              <w:rPr>
                <w:sz w:val="20"/>
                <w:szCs w:val="20"/>
              </w:rPr>
              <w:t>0.22</w:t>
            </w:r>
          </w:p>
        </w:tc>
        <w:tc>
          <w:tcPr>
            <w:tcW w:w="1487" w:type="dxa"/>
            <w:tcBorders>
              <w:bottom w:val="single" w:sz="4" w:space="0" w:color="auto"/>
            </w:tcBorders>
            <w:shd w:val="clear" w:color="auto" w:fill="auto"/>
            <w:noWrap/>
            <w:vAlign w:val="bottom"/>
            <w:hideMark/>
          </w:tcPr>
          <w:p w14:paraId="5A8B3BF6" w14:textId="77777777" w:rsidR="00A20361" w:rsidRPr="00DE6C9E" w:rsidRDefault="00A20361" w:rsidP="0048210B">
            <w:pPr>
              <w:jc w:val="center"/>
              <w:rPr>
                <w:sz w:val="20"/>
                <w:szCs w:val="20"/>
              </w:rPr>
            </w:pPr>
            <w:r w:rsidRPr="00DE6C9E">
              <w:rPr>
                <w:sz w:val="20"/>
                <w:szCs w:val="20"/>
              </w:rPr>
              <w:t>0.30</w:t>
            </w:r>
          </w:p>
        </w:tc>
      </w:tr>
      <w:tr w:rsidR="00A20361" w14:paraId="7919A9EF" w14:textId="77777777" w:rsidTr="001B7E3E">
        <w:trPr>
          <w:trHeight w:val="320"/>
        </w:trPr>
        <w:tc>
          <w:tcPr>
            <w:tcW w:w="9596" w:type="dxa"/>
            <w:gridSpan w:val="6"/>
            <w:tcBorders>
              <w:top w:val="single" w:sz="4" w:space="0" w:color="auto"/>
              <w:bottom w:val="single" w:sz="4" w:space="0" w:color="auto"/>
            </w:tcBorders>
            <w:shd w:val="clear" w:color="auto" w:fill="auto"/>
            <w:noWrap/>
            <w:vAlign w:val="bottom"/>
            <w:hideMark/>
          </w:tcPr>
          <w:p w14:paraId="4B61918D" w14:textId="69054C3C" w:rsidR="00A20361" w:rsidRPr="00DE6C9E" w:rsidRDefault="00A20361" w:rsidP="001B7E3E">
            <w:pPr>
              <w:pStyle w:val="NormalWeb"/>
              <w:shd w:val="clear" w:color="auto" w:fill="FFFFFF"/>
            </w:pPr>
            <w:r w:rsidRPr="00DE6C9E">
              <w:rPr>
                <w:sz w:val="20"/>
                <w:szCs w:val="20"/>
              </w:rPr>
              <w:t xml:space="preserve">Panel D: Excluding flat glass, cement, concrete, construction and material handling machine </w:t>
            </w:r>
          </w:p>
        </w:tc>
      </w:tr>
      <w:tr w:rsidR="00A20361" w14:paraId="68D60CB3" w14:textId="77777777" w:rsidTr="001B7E3E">
        <w:trPr>
          <w:trHeight w:val="320"/>
        </w:trPr>
        <w:tc>
          <w:tcPr>
            <w:tcW w:w="3019" w:type="dxa"/>
            <w:tcBorders>
              <w:top w:val="single" w:sz="4" w:space="0" w:color="auto"/>
            </w:tcBorders>
            <w:shd w:val="clear" w:color="auto" w:fill="auto"/>
            <w:noWrap/>
            <w:vAlign w:val="bottom"/>
            <w:hideMark/>
          </w:tcPr>
          <w:p w14:paraId="68991C40" w14:textId="77777777" w:rsidR="00A20361" w:rsidRPr="00DE6C9E" w:rsidRDefault="00157748" w:rsidP="0048210B">
            <w:pP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IPW</m:t>
                    </m:r>
                  </m:e>
                  <m:sub>
                    <m:r>
                      <w:rPr>
                        <w:rFonts w:ascii="Cambria Math" w:hAnsi="Cambria Math"/>
                        <w:sz w:val="20"/>
                        <w:szCs w:val="20"/>
                      </w:rPr>
                      <m:t>uit</m:t>
                    </m:r>
                  </m:sub>
                </m:sSub>
              </m:oMath>
            </m:oMathPara>
          </w:p>
        </w:tc>
        <w:tc>
          <w:tcPr>
            <w:tcW w:w="1337" w:type="dxa"/>
            <w:tcBorders>
              <w:top w:val="single" w:sz="4" w:space="0" w:color="auto"/>
            </w:tcBorders>
            <w:shd w:val="clear" w:color="auto" w:fill="auto"/>
            <w:noWrap/>
            <w:vAlign w:val="bottom"/>
            <w:hideMark/>
          </w:tcPr>
          <w:p w14:paraId="54DDA8C7" w14:textId="77777777" w:rsidR="00A20361" w:rsidRPr="00DE6C9E" w:rsidRDefault="00A20361" w:rsidP="0048210B">
            <w:pPr>
              <w:jc w:val="center"/>
              <w:rPr>
                <w:sz w:val="20"/>
                <w:szCs w:val="20"/>
              </w:rPr>
            </w:pPr>
            <w:r w:rsidRPr="00DE6C9E">
              <w:rPr>
                <w:sz w:val="20"/>
                <w:szCs w:val="20"/>
              </w:rPr>
              <w:t>-0.52**</w:t>
            </w:r>
          </w:p>
        </w:tc>
        <w:tc>
          <w:tcPr>
            <w:tcW w:w="1251" w:type="dxa"/>
            <w:tcBorders>
              <w:top w:val="single" w:sz="4" w:space="0" w:color="auto"/>
            </w:tcBorders>
            <w:shd w:val="clear" w:color="auto" w:fill="auto"/>
            <w:noWrap/>
            <w:vAlign w:val="bottom"/>
            <w:hideMark/>
          </w:tcPr>
          <w:p w14:paraId="56A0B8DA" w14:textId="77777777" w:rsidR="00A20361" w:rsidRPr="00DE6C9E" w:rsidRDefault="00A20361" w:rsidP="0048210B">
            <w:pPr>
              <w:jc w:val="center"/>
              <w:rPr>
                <w:sz w:val="20"/>
                <w:szCs w:val="20"/>
              </w:rPr>
            </w:pPr>
            <w:r w:rsidRPr="00DE6C9E">
              <w:rPr>
                <w:sz w:val="20"/>
                <w:szCs w:val="20"/>
              </w:rPr>
              <w:t>-0.49*</w:t>
            </w:r>
          </w:p>
        </w:tc>
        <w:tc>
          <w:tcPr>
            <w:tcW w:w="1251" w:type="dxa"/>
            <w:tcBorders>
              <w:top w:val="single" w:sz="4" w:space="0" w:color="auto"/>
            </w:tcBorders>
            <w:shd w:val="clear" w:color="auto" w:fill="auto"/>
            <w:noWrap/>
            <w:vAlign w:val="bottom"/>
            <w:hideMark/>
          </w:tcPr>
          <w:p w14:paraId="6EE065E0" w14:textId="77777777" w:rsidR="00A20361" w:rsidRPr="00DE6C9E" w:rsidRDefault="00A20361" w:rsidP="0048210B">
            <w:pPr>
              <w:jc w:val="center"/>
              <w:rPr>
                <w:sz w:val="20"/>
                <w:szCs w:val="20"/>
              </w:rPr>
            </w:pPr>
            <w:r w:rsidRPr="00DE6C9E">
              <w:rPr>
                <w:sz w:val="20"/>
                <w:szCs w:val="20"/>
              </w:rPr>
              <w:t>0.02</w:t>
            </w:r>
          </w:p>
        </w:tc>
        <w:tc>
          <w:tcPr>
            <w:tcW w:w="1251" w:type="dxa"/>
            <w:tcBorders>
              <w:top w:val="single" w:sz="4" w:space="0" w:color="auto"/>
            </w:tcBorders>
            <w:shd w:val="clear" w:color="auto" w:fill="auto"/>
            <w:noWrap/>
            <w:vAlign w:val="bottom"/>
            <w:hideMark/>
          </w:tcPr>
          <w:p w14:paraId="31B124AF" w14:textId="77777777" w:rsidR="00A20361" w:rsidRPr="00DE6C9E" w:rsidRDefault="00A20361" w:rsidP="0048210B">
            <w:pPr>
              <w:jc w:val="center"/>
              <w:rPr>
                <w:sz w:val="20"/>
                <w:szCs w:val="20"/>
              </w:rPr>
            </w:pPr>
            <w:r w:rsidRPr="00DE6C9E">
              <w:rPr>
                <w:sz w:val="20"/>
                <w:szCs w:val="20"/>
              </w:rPr>
              <w:t>0.00</w:t>
            </w:r>
          </w:p>
        </w:tc>
        <w:tc>
          <w:tcPr>
            <w:tcW w:w="1487" w:type="dxa"/>
            <w:tcBorders>
              <w:top w:val="single" w:sz="4" w:space="0" w:color="auto"/>
            </w:tcBorders>
            <w:shd w:val="clear" w:color="auto" w:fill="auto"/>
            <w:noWrap/>
            <w:vAlign w:val="bottom"/>
            <w:hideMark/>
          </w:tcPr>
          <w:p w14:paraId="73D90D09" w14:textId="77777777" w:rsidR="00A20361" w:rsidRPr="00DE6C9E" w:rsidRDefault="00A20361" w:rsidP="0048210B">
            <w:pPr>
              <w:jc w:val="center"/>
              <w:rPr>
                <w:sz w:val="20"/>
                <w:szCs w:val="20"/>
              </w:rPr>
            </w:pPr>
            <w:r w:rsidRPr="00DE6C9E">
              <w:rPr>
                <w:sz w:val="20"/>
                <w:szCs w:val="20"/>
              </w:rPr>
              <w:t>-0.52**</w:t>
            </w:r>
          </w:p>
        </w:tc>
      </w:tr>
      <w:tr w:rsidR="00A20361" w14:paraId="1067344E" w14:textId="77777777" w:rsidTr="001B7E3E">
        <w:trPr>
          <w:trHeight w:val="320"/>
        </w:trPr>
        <w:tc>
          <w:tcPr>
            <w:tcW w:w="3019" w:type="dxa"/>
            <w:tcBorders>
              <w:bottom w:val="single" w:sz="4" w:space="0" w:color="auto"/>
            </w:tcBorders>
            <w:shd w:val="clear" w:color="auto" w:fill="auto"/>
            <w:noWrap/>
            <w:vAlign w:val="bottom"/>
            <w:hideMark/>
          </w:tcPr>
          <w:p w14:paraId="76B227BC" w14:textId="77777777" w:rsidR="00A20361" w:rsidRPr="00DE6C9E" w:rsidRDefault="00A20361" w:rsidP="0048210B">
            <w:pPr>
              <w:rPr>
                <w:sz w:val="20"/>
                <w:szCs w:val="20"/>
              </w:rPr>
            </w:pPr>
          </w:p>
        </w:tc>
        <w:tc>
          <w:tcPr>
            <w:tcW w:w="1337" w:type="dxa"/>
            <w:tcBorders>
              <w:bottom w:val="single" w:sz="4" w:space="0" w:color="auto"/>
            </w:tcBorders>
            <w:shd w:val="clear" w:color="auto" w:fill="auto"/>
            <w:noWrap/>
            <w:vAlign w:val="bottom"/>
            <w:hideMark/>
          </w:tcPr>
          <w:p w14:paraId="2BAB490A" w14:textId="77777777" w:rsidR="00A20361" w:rsidRPr="00DE6C9E" w:rsidRDefault="00A20361" w:rsidP="0048210B">
            <w:pPr>
              <w:jc w:val="center"/>
              <w:rPr>
                <w:sz w:val="20"/>
                <w:szCs w:val="20"/>
              </w:rPr>
            </w:pPr>
            <w:r w:rsidRPr="00DE6C9E">
              <w:rPr>
                <w:sz w:val="20"/>
                <w:szCs w:val="20"/>
              </w:rPr>
              <w:t>(0.18)</w:t>
            </w:r>
          </w:p>
        </w:tc>
        <w:tc>
          <w:tcPr>
            <w:tcW w:w="1251" w:type="dxa"/>
            <w:tcBorders>
              <w:bottom w:val="single" w:sz="4" w:space="0" w:color="auto"/>
            </w:tcBorders>
            <w:shd w:val="clear" w:color="auto" w:fill="auto"/>
            <w:noWrap/>
            <w:vAlign w:val="bottom"/>
            <w:hideMark/>
          </w:tcPr>
          <w:p w14:paraId="651DD448" w14:textId="77777777" w:rsidR="00A20361" w:rsidRPr="00DE6C9E" w:rsidRDefault="00A20361" w:rsidP="0048210B">
            <w:pPr>
              <w:jc w:val="center"/>
              <w:rPr>
                <w:sz w:val="20"/>
                <w:szCs w:val="20"/>
              </w:rPr>
            </w:pPr>
            <w:r w:rsidRPr="00DE6C9E">
              <w:rPr>
                <w:sz w:val="20"/>
                <w:szCs w:val="20"/>
              </w:rPr>
              <w:t>(0.21)</w:t>
            </w:r>
          </w:p>
        </w:tc>
        <w:tc>
          <w:tcPr>
            <w:tcW w:w="1251" w:type="dxa"/>
            <w:tcBorders>
              <w:bottom w:val="single" w:sz="4" w:space="0" w:color="auto"/>
            </w:tcBorders>
            <w:shd w:val="clear" w:color="auto" w:fill="auto"/>
            <w:noWrap/>
            <w:vAlign w:val="bottom"/>
            <w:hideMark/>
          </w:tcPr>
          <w:p w14:paraId="4465AB38" w14:textId="77777777" w:rsidR="00A20361" w:rsidRPr="00DE6C9E" w:rsidRDefault="00A20361" w:rsidP="0048210B">
            <w:pPr>
              <w:jc w:val="center"/>
              <w:rPr>
                <w:sz w:val="20"/>
                <w:szCs w:val="20"/>
              </w:rPr>
            </w:pPr>
            <w:r w:rsidRPr="00DE6C9E">
              <w:rPr>
                <w:sz w:val="20"/>
                <w:szCs w:val="20"/>
              </w:rPr>
              <w:t>(0.18)</w:t>
            </w:r>
          </w:p>
        </w:tc>
        <w:tc>
          <w:tcPr>
            <w:tcW w:w="1251" w:type="dxa"/>
            <w:tcBorders>
              <w:bottom w:val="single" w:sz="4" w:space="0" w:color="auto"/>
            </w:tcBorders>
            <w:shd w:val="clear" w:color="auto" w:fill="auto"/>
            <w:noWrap/>
            <w:vAlign w:val="bottom"/>
            <w:hideMark/>
          </w:tcPr>
          <w:p w14:paraId="0B664DC0" w14:textId="77777777" w:rsidR="00A20361" w:rsidRPr="00DE6C9E" w:rsidRDefault="00A20361" w:rsidP="0048210B">
            <w:pPr>
              <w:jc w:val="center"/>
              <w:rPr>
                <w:sz w:val="20"/>
                <w:szCs w:val="20"/>
              </w:rPr>
            </w:pPr>
            <w:r w:rsidRPr="00DE6C9E">
              <w:rPr>
                <w:sz w:val="20"/>
                <w:szCs w:val="20"/>
              </w:rPr>
              <w:t>(0.02)</w:t>
            </w:r>
          </w:p>
        </w:tc>
        <w:tc>
          <w:tcPr>
            <w:tcW w:w="1487" w:type="dxa"/>
            <w:tcBorders>
              <w:bottom w:val="single" w:sz="4" w:space="0" w:color="auto"/>
            </w:tcBorders>
            <w:shd w:val="clear" w:color="auto" w:fill="auto"/>
            <w:noWrap/>
            <w:vAlign w:val="bottom"/>
            <w:hideMark/>
          </w:tcPr>
          <w:p w14:paraId="6EC18062" w14:textId="77777777" w:rsidR="00A20361" w:rsidRPr="00DE6C9E" w:rsidRDefault="00A20361" w:rsidP="0048210B">
            <w:pPr>
              <w:jc w:val="center"/>
              <w:rPr>
                <w:sz w:val="20"/>
                <w:szCs w:val="20"/>
              </w:rPr>
            </w:pPr>
            <w:r w:rsidRPr="00DE6C9E">
              <w:rPr>
                <w:sz w:val="20"/>
                <w:szCs w:val="20"/>
              </w:rPr>
              <w:t>(0.18)</w:t>
            </w:r>
          </w:p>
        </w:tc>
      </w:tr>
      <w:tr w:rsidR="00A20361" w14:paraId="0535430D" w14:textId="77777777" w:rsidTr="001B7E3E">
        <w:trPr>
          <w:trHeight w:val="320"/>
        </w:trPr>
        <w:tc>
          <w:tcPr>
            <w:tcW w:w="3019" w:type="dxa"/>
            <w:tcBorders>
              <w:top w:val="single" w:sz="4" w:space="0" w:color="auto"/>
              <w:bottom w:val="nil"/>
            </w:tcBorders>
            <w:shd w:val="clear" w:color="auto" w:fill="auto"/>
            <w:noWrap/>
            <w:vAlign w:val="bottom"/>
            <w:hideMark/>
          </w:tcPr>
          <w:p w14:paraId="624E3BD2" w14:textId="77777777" w:rsidR="00A20361" w:rsidRPr="00DE6C9E" w:rsidRDefault="00A20361" w:rsidP="0048210B">
            <w:pPr>
              <w:rPr>
                <w:sz w:val="20"/>
                <w:szCs w:val="20"/>
              </w:rPr>
            </w:pPr>
            <w:r w:rsidRPr="00DE6C9E">
              <w:rPr>
                <w:sz w:val="20"/>
                <w:szCs w:val="20"/>
              </w:rPr>
              <w:t>Average Dependent Variable</w:t>
            </w:r>
          </w:p>
        </w:tc>
        <w:tc>
          <w:tcPr>
            <w:tcW w:w="1337" w:type="dxa"/>
            <w:tcBorders>
              <w:top w:val="single" w:sz="4" w:space="0" w:color="auto"/>
              <w:bottom w:val="nil"/>
            </w:tcBorders>
            <w:shd w:val="clear" w:color="auto" w:fill="auto"/>
            <w:noWrap/>
            <w:vAlign w:val="bottom"/>
            <w:hideMark/>
          </w:tcPr>
          <w:p w14:paraId="6E59DCED" w14:textId="77777777" w:rsidR="00A20361" w:rsidRPr="00DE6C9E" w:rsidRDefault="00A20361" w:rsidP="0048210B">
            <w:pPr>
              <w:jc w:val="center"/>
              <w:rPr>
                <w:sz w:val="20"/>
                <w:szCs w:val="20"/>
              </w:rPr>
            </w:pPr>
            <w:r w:rsidRPr="00DE6C9E">
              <w:rPr>
                <w:sz w:val="20"/>
                <w:szCs w:val="20"/>
              </w:rPr>
              <w:t>2.01</w:t>
            </w:r>
          </w:p>
        </w:tc>
        <w:tc>
          <w:tcPr>
            <w:tcW w:w="1251" w:type="dxa"/>
            <w:tcBorders>
              <w:top w:val="single" w:sz="4" w:space="0" w:color="auto"/>
              <w:bottom w:val="nil"/>
            </w:tcBorders>
            <w:shd w:val="clear" w:color="auto" w:fill="auto"/>
            <w:noWrap/>
            <w:vAlign w:val="bottom"/>
            <w:hideMark/>
          </w:tcPr>
          <w:p w14:paraId="087D50AF" w14:textId="77777777" w:rsidR="00A20361" w:rsidRPr="00DE6C9E" w:rsidRDefault="00A20361" w:rsidP="0048210B">
            <w:pPr>
              <w:jc w:val="center"/>
              <w:rPr>
                <w:sz w:val="20"/>
                <w:szCs w:val="20"/>
              </w:rPr>
            </w:pPr>
            <w:r w:rsidRPr="00DE6C9E">
              <w:rPr>
                <w:sz w:val="20"/>
                <w:szCs w:val="20"/>
              </w:rPr>
              <w:t>2.12</w:t>
            </w:r>
          </w:p>
        </w:tc>
        <w:tc>
          <w:tcPr>
            <w:tcW w:w="1251" w:type="dxa"/>
            <w:tcBorders>
              <w:top w:val="single" w:sz="4" w:space="0" w:color="auto"/>
              <w:bottom w:val="nil"/>
            </w:tcBorders>
            <w:shd w:val="clear" w:color="auto" w:fill="auto"/>
            <w:noWrap/>
            <w:vAlign w:val="bottom"/>
            <w:hideMark/>
          </w:tcPr>
          <w:p w14:paraId="4A8D024B" w14:textId="77777777" w:rsidR="00A20361" w:rsidRPr="00DE6C9E" w:rsidRDefault="00A20361" w:rsidP="0048210B">
            <w:pPr>
              <w:jc w:val="center"/>
              <w:rPr>
                <w:sz w:val="20"/>
                <w:szCs w:val="20"/>
              </w:rPr>
            </w:pPr>
            <w:r w:rsidRPr="00DE6C9E">
              <w:rPr>
                <w:sz w:val="20"/>
                <w:szCs w:val="20"/>
              </w:rPr>
              <w:t>0.71</w:t>
            </w:r>
          </w:p>
        </w:tc>
        <w:tc>
          <w:tcPr>
            <w:tcW w:w="1251" w:type="dxa"/>
            <w:tcBorders>
              <w:top w:val="single" w:sz="4" w:space="0" w:color="auto"/>
              <w:bottom w:val="nil"/>
            </w:tcBorders>
            <w:shd w:val="clear" w:color="auto" w:fill="auto"/>
            <w:noWrap/>
            <w:vAlign w:val="bottom"/>
            <w:hideMark/>
          </w:tcPr>
          <w:p w14:paraId="1E9DE458" w14:textId="77777777" w:rsidR="00A20361" w:rsidRPr="00DE6C9E" w:rsidRDefault="00A20361" w:rsidP="0048210B">
            <w:pPr>
              <w:jc w:val="center"/>
              <w:rPr>
                <w:sz w:val="20"/>
                <w:szCs w:val="20"/>
              </w:rPr>
            </w:pPr>
            <w:r w:rsidRPr="00DE6C9E">
              <w:rPr>
                <w:sz w:val="20"/>
                <w:szCs w:val="20"/>
              </w:rPr>
              <w:t>0.29</w:t>
            </w:r>
          </w:p>
        </w:tc>
        <w:tc>
          <w:tcPr>
            <w:tcW w:w="1487" w:type="dxa"/>
            <w:tcBorders>
              <w:top w:val="single" w:sz="4" w:space="0" w:color="auto"/>
              <w:bottom w:val="nil"/>
            </w:tcBorders>
            <w:shd w:val="clear" w:color="auto" w:fill="auto"/>
            <w:noWrap/>
            <w:vAlign w:val="bottom"/>
            <w:hideMark/>
          </w:tcPr>
          <w:p w14:paraId="2A4DC96E" w14:textId="77777777" w:rsidR="00A20361" w:rsidRPr="00DE6C9E" w:rsidRDefault="00A20361" w:rsidP="0048210B">
            <w:pPr>
              <w:jc w:val="center"/>
              <w:rPr>
                <w:sz w:val="20"/>
                <w:szCs w:val="20"/>
              </w:rPr>
            </w:pPr>
            <w:r w:rsidRPr="00DE6C9E">
              <w:rPr>
                <w:sz w:val="20"/>
                <w:szCs w:val="20"/>
              </w:rPr>
              <w:t>1.12</w:t>
            </w:r>
          </w:p>
        </w:tc>
      </w:tr>
      <w:tr w:rsidR="00A20361" w14:paraId="63F99687" w14:textId="77777777" w:rsidTr="001B7E3E">
        <w:trPr>
          <w:trHeight w:val="189"/>
        </w:trPr>
        <w:tc>
          <w:tcPr>
            <w:tcW w:w="3019" w:type="dxa"/>
            <w:tcBorders>
              <w:top w:val="nil"/>
              <w:bottom w:val="nil"/>
            </w:tcBorders>
            <w:shd w:val="clear" w:color="auto" w:fill="auto"/>
            <w:noWrap/>
            <w:hideMark/>
          </w:tcPr>
          <w:p w14:paraId="675A0524" w14:textId="77777777" w:rsidR="00A20361" w:rsidRPr="00DE6C9E" w:rsidRDefault="00A20361" w:rsidP="0048210B">
            <w:pPr>
              <w:rPr>
                <w:sz w:val="20"/>
                <w:szCs w:val="20"/>
              </w:rPr>
            </w:pPr>
            <w:r w:rsidRPr="00DE6C9E">
              <w:rPr>
                <w:sz w:val="20"/>
                <w:szCs w:val="20"/>
              </w:rPr>
              <w:t>Observations</w:t>
            </w:r>
          </w:p>
        </w:tc>
        <w:tc>
          <w:tcPr>
            <w:tcW w:w="1337" w:type="dxa"/>
            <w:tcBorders>
              <w:top w:val="nil"/>
              <w:bottom w:val="nil"/>
            </w:tcBorders>
            <w:shd w:val="clear" w:color="auto" w:fill="auto"/>
            <w:noWrap/>
            <w:vAlign w:val="bottom"/>
            <w:hideMark/>
          </w:tcPr>
          <w:p w14:paraId="0384117F" w14:textId="77777777" w:rsidR="00A20361" w:rsidRPr="00DE6C9E" w:rsidRDefault="00A20361" w:rsidP="0048210B">
            <w:pPr>
              <w:jc w:val="center"/>
              <w:rPr>
                <w:sz w:val="20"/>
                <w:szCs w:val="20"/>
              </w:rPr>
            </w:pPr>
            <w:r w:rsidRPr="00DE6C9E">
              <w:rPr>
                <w:sz w:val="20"/>
                <w:szCs w:val="20"/>
              </w:rPr>
              <w:t>1444.00</w:t>
            </w:r>
          </w:p>
        </w:tc>
        <w:tc>
          <w:tcPr>
            <w:tcW w:w="1251" w:type="dxa"/>
            <w:tcBorders>
              <w:top w:val="nil"/>
              <w:bottom w:val="nil"/>
            </w:tcBorders>
            <w:shd w:val="clear" w:color="auto" w:fill="auto"/>
            <w:noWrap/>
            <w:vAlign w:val="bottom"/>
            <w:hideMark/>
          </w:tcPr>
          <w:p w14:paraId="7C9FD953" w14:textId="77777777" w:rsidR="00A20361" w:rsidRPr="00DE6C9E" w:rsidRDefault="00A20361" w:rsidP="0048210B">
            <w:pPr>
              <w:jc w:val="center"/>
              <w:rPr>
                <w:sz w:val="20"/>
                <w:szCs w:val="20"/>
              </w:rPr>
            </w:pPr>
            <w:r w:rsidRPr="00DE6C9E">
              <w:rPr>
                <w:sz w:val="20"/>
                <w:szCs w:val="20"/>
              </w:rPr>
              <w:t>1444.00</w:t>
            </w:r>
          </w:p>
        </w:tc>
        <w:tc>
          <w:tcPr>
            <w:tcW w:w="1251" w:type="dxa"/>
            <w:tcBorders>
              <w:top w:val="nil"/>
              <w:bottom w:val="nil"/>
            </w:tcBorders>
            <w:shd w:val="clear" w:color="auto" w:fill="auto"/>
            <w:noWrap/>
            <w:vAlign w:val="bottom"/>
            <w:hideMark/>
          </w:tcPr>
          <w:p w14:paraId="1B613B18" w14:textId="77777777" w:rsidR="00A20361" w:rsidRPr="00DE6C9E" w:rsidRDefault="00A20361" w:rsidP="0048210B">
            <w:pPr>
              <w:jc w:val="center"/>
              <w:rPr>
                <w:sz w:val="20"/>
                <w:szCs w:val="20"/>
              </w:rPr>
            </w:pPr>
            <w:r w:rsidRPr="00DE6C9E">
              <w:rPr>
                <w:sz w:val="20"/>
                <w:szCs w:val="20"/>
              </w:rPr>
              <w:t>1444.00</w:t>
            </w:r>
          </w:p>
        </w:tc>
        <w:tc>
          <w:tcPr>
            <w:tcW w:w="1251" w:type="dxa"/>
            <w:tcBorders>
              <w:top w:val="nil"/>
              <w:bottom w:val="nil"/>
            </w:tcBorders>
            <w:shd w:val="clear" w:color="auto" w:fill="auto"/>
            <w:noWrap/>
            <w:vAlign w:val="bottom"/>
            <w:hideMark/>
          </w:tcPr>
          <w:p w14:paraId="7C24B798" w14:textId="77777777" w:rsidR="00A20361" w:rsidRPr="00DE6C9E" w:rsidRDefault="00A20361" w:rsidP="0048210B">
            <w:pPr>
              <w:jc w:val="center"/>
              <w:rPr>
                <w:sz w:val="20"/>
                <w:szCs w:val="20"/>
              </w:rPr>
            </w:pPr>
            <w:r w:rsidRPr="00DE6C9E">
              <w:rPr>
                <w:sz w:val="20"/>
                <w:szCs w:val="20"/>
              </w:rPr>
              <w:t>1444.00</w:t>
            </w:r>
          </w:p>
        </w:tc>
        <w:tc>
          <w:tcPr>
            <w:tcW w:w="1487" w:type="dxa"/>
            <w:tcBorders>
              <w:top w:val="nil"/>
              <w:bottom w:val="nil"/>
            </w:tcBorders>
            <w:shd w:val="clear" w:color="auto" w:fill="auto"/>
            <w:noWrap/>
            <w:vAlign w:val="bottom"/>
            <w:hideMark/>
          </w:tcPr>
          <w:p w14:paraId="27A4450C" w14:textId="77777777" w:rsidR="00A20361" w:rsidRPr="00DE6C9E" w:rsidRDefault="00A20361" w:rsidP="0048210B">
            <w:pPr>
              <w:jc w:val="center"/>
              <w:rPr>
                <w:sz w:val="20"/>
                <w:szCs w:val="20"/>
              </w:rPr>
            </w:pPr>
            <w:r w:rsidRPr="00DE6C9E">
              <w:rPr>
                <w:sz w:val="20"/>
                <w:szCs w:val="20"/>
              </w:rPr>
              <w:t>1444.00</w:t>
            </w:r>
          </w:p>
        </w:tc>
      </w:tr>
      <w:tr w:rsidR="00A20361" w14:paraId="1163467D" w14:textId="77777777" w:rsidTr="001B7E3E">
        <w:trPr>
          <w:trHeight w:val="320"/>
        </w:trPr>
        <w:tc>
          <w:tcPr>
            <w:tcW w:w="3019" w:type="dxa"/>
            <w:tcBorders>
              <w:top w:val="nil"/>
              <w:bottom w:val="single" w:sz="4" w:space="0" w:color="auto"/>
            </w:tcBorders>
            <w:shd w:val="clear" w:color="auto" w:fill="auto"/>
            <w:noWrap/>
            <w:hideMark/>
          </w:tcPr>
          <w:p w14:paraId="7910A995" w14:textId="77777777" w:rsidR="00A20361" w:rsidRPr="00DE6C9E" w:rsidRDefault="00A20361" w:rsidP="0048210B">
            <w:pPr>
              <w:rPr>
                <w:sz w:val="20"/>
                <w:szCs w:val="20"/>
              </w:rPr>
            </w:pPr>
            <w:r w:rsidRPr="00DE6C9E">
              <w:rPr>
                <w:sz w:val="20"/>
                <w:szCs w:val="20"/>
              </w:rPr>
              <w:t>R-squared</w:t>
            </w:r>
          </w:p>
        </w:tc>
        <w:tc>
          <w:tcPr>
            <w:tcW w:w="1337" w:type="dxa"/>
            <w:tcBorders>
              <w:top w:val="nil"/>
              <w:bottom w:val="single" w:sz="4" w:space="0" w:color="auto"/>
            </w:tcBorders>
            <w:shd w:val="clear" w:color="auto" w:fill="auto"/>
            <w:noWrap/>
            <w:vAlign w:val="bottom"/>
            <w:hideMark/>
          </w:tcPr>
          <w:p w14:paraId="0F46B297" w14:textId="77777777" w:rsidR="00A20361" w:rsidRPr="00DE6C9E" w:rsidRDefault="00A20361" w:rsidP="0048210B">
            <w:pPr>
              <w:jc w:val="center"/>
              <w:rPr>
                <w:sz w:val="20"/>
                <w:szCs w:val="20"/>
              </w:rPr>
            </w:pPr>
            <w:r w:rsidRPr="00DE6C9E">
              <w:rPr>
                <w:sz w:val="20"/>
                <w:szCs w:val="20"/>
              </w:rPr>
              <w:t>0.31</w:t>
            </w:r>
          </w:p>
        </w:tc>
        <w:tc>
          <w:tcPr>
            <w:tcW w:w="1251" w:type="dxa"/>
            <w:tcBorders>
              <w:top w:val="nil"/>
              <w:bottom w:val="single" w:sz="4" w:space="0" w:color="auto"/>
            </w:tcBorders>
            <w:shd w:val="clear" w:color="auto" w:fill="auto"/>
            <w:noWrap/>
            <w:vAlign w:val="bottom"/>
            <w:hideMark/>
          </w:tcPr>
          <w:p w14:paraId="263E0F44" w14:textId="77777777" w:rsidR="00A20361" w:rsidRPr="00DE6C9E" w:rsidRDefault="00A20361" w:rsidP="0048210B">
            <w:pPr>
              <w:jc w:val="center"/>
              <w:rPr>
                <w:sz w:val="20"/>
                <w:szCs w:val="20"/>
              </w:rPr>
            </w:pPr>
            <w:r w:rsidRPr="00DE6C9E">
              <w:rPr>
                <w:sz w:val="20"/>
                <w:szCs w:val="20"/>
              </w:rPr>
              <w:t>0.32</w:t>
            </w:r>
          </w:p>
        </w:tc>
        <w:tc>
          <w:tcPr>
            <w:tcW w:w="1251" w:type="dxa"/>
            <w:tcBorders>
              <w:top w:val="nil"/>
              <w:bottom w:val="single" w:sz="4" w:space="0" w:color="auto"/>
            </w:tcBorders>
            <w:shd w:val="clear" w:color="auto" w:fill="auto"/>
            <w:noWrap/>
            <w:vAlign w:val="bottom"/>
            <w:hideMark/>
          </w:tcPr>
          <w:p w14:paraId="35DC7753" w14:textId="77777777" w:rsidR="00A20361" w:rsidRPr="00DE6C9E" w:rsidRDefault="00A20361" w:rsidP="0048210B">
            <w:pPr>
              <w:jc w:val="center"/>
              <w:rPr>
                <w:sz w:val="20"/>
                <w:szCs w:val="20"/>
              </w:rPr>
            </w:pPr>
            <w:r w:rsidRPr="00DE6C9E">
              <w:rPr>
                <w:sz w:val="20"/>
                <w:szCs w:val="20"/>
              </w:rPr>
              <w:t>0.25</w:t>
            </w:r>
          </w:p>
        </w:tc>
        <w:tc>
          <w:tcPr>
            <w:tcW w:w="1251" w:type="dxa"/>
            <w:tcBorders>
              <w:top w:val="nil"/>
              <w:bottom w:val="single" w:sz="4" w:space="0" w:color="auto"/>
            </w:tcBorders>
            <w:shd w:val="clear" w:color="auto" w:fill="auto"/>
            <w:noWrap/>
            <w:vAlign w:val="bottom"/>
            <w:hideMark/>
          </w:tcPr>
          <w:p w14:paraId="65DA79E6" w14:textId="77777777" w:rsidR="00A20361" w:rsidRPr="00DE6C9E" w:rsidRDefault="00A20361" w:rsidP="0048210B">
            <w:pPr>
              <w:jc w:val="center"/>
              <w:rPr>
                <w:sz w:val="20"/>
                <w:szCs w:val="20"/>
              </w:rPr>
            </w:pPr>
            <w:r w:rsidRPr="00DE6C9E">
              <w:rPr>
                <w:sz w:val="20"/>
                <w:szCs w:val="20"/>
              </w:rPr>
              <w:t>0.22</w:t>
            </w:r>
          </w:p>
        </w:tc>
        <w:tc>
          <w:tcPr>
            <w:tcW w:w="1487" w:type="dxa"/>
            <w:tcBorders>
              <w:top w:val="nil"/>
              <w:bottom w:val="single" w:sz="4" w:space="0" w:color="auto"/>
            </w:tcBorders>
            <w:shd w:val="clear" w:color="auto" w:fill="auto"/>
            <w:noWrap/>
            <w:vAlign w:val="bottom"/>
            <w:hideMark/>
          </w:tcPr>
          <w:p w14:paraId="09836917" w14:textId="77777777" w:rsidR="00A20361" w:rsidRPr="00DE6C9E" w:rsidRDefault="00A20361" w:rsidP="0048210B">
            <w:pPr>
              <w:jc w:val="center"/>
              <w:rPr>
                <w:sz w:val="20"/>
                <w:szCs w:val="20"/>
              </w:rPr>
            </w:pPr>
            <w:r w:rsidRPr="00DE6C9E">
              <w:rPr>
                <w:sz w:val="20"/>
                <w:szCs w:val="20"/>
              </w:rPr>
              <w:t>0.29</w:t>
            </w:r>
          </w:p>
        </w:tc>
      </w:tr>
    </w:tbl>
    <w:p w14:paraId="495D3A0A" w14:textId="77777777" w:rsidR="00DE6C9E" w:rsidRPr="00DE6C9E" w:rsidRDefault="00A20361" w:rsidP="00DE6C9E">
      <w:pPr>
        <w:jc w:val="both"/>
        <w:rPr>
          <w:rFonts w:ascii="Times" w:hAnsi="Times" w:cs="Times"/>
          <w:color w:val="000000"/>
          <w:sz w:val="21"/>
          <w:szCs w:val="21"/>
        </w:rPr>
      </w:pPr>
      <w:r w:rsidRPr="00DE6C9E">
        <w:rPr>
          <w:rFonts w:ascii="Times" w:hAnsi="Times" w:cs="Times"/>
          <w:color w:val="000000"/>
          <w:sz w:val="21"/>
          <w:szCs w:val="21"/>
        </w:rPr>
        <w:t xml:space="preserve">Notes: All regressions include the full vectors of control variables from column (5) of Table 3. Robust standard errors in parentheses are clustered on CZ. Models are weighted by start of period CZ share of national population. </w:t>
      </w:r>
      <w:r w:rsidR="00DE6C9E" w:rsidRPr="00DE6C9E">
        <w:rPr>
          <w:rFonts w:ascii="Times" w:hAnsi="Times" w:cs="Times"/>
          <w:color w:val="000000"/>
          <w:sz w:val="21"/>
          <w:szCs w:val="21"/>
        </w:rPr>
        <w:t>* p&lt;0.05, ** p&lt;0.01, *** p&lt;0.001</w:t>
      </w:r>
    </w:p>
    <w:p w14:paraId="29D8EE00" w14:textId="188870F2" w:rsidR="00A20361" w:rsidRDefault="00A20361" w:rsidP="00A20361">
      <w:pPr>
        <w:widowControl w:val="0"/>
        <w:autoSpaceDE w:val="0"/>
        <w:autoSpaceDN w:val="0"/>
        <w:adjustRightInd w:val="0"/>
        <w:spacing w:after="240"/>
        <w:jc w:val="both"/>
        <w:rPr>
          <w:rFonts w:ascii="Times" w:hAnsi="Times" w:cs="Times"/>
          <w:i/>
          <w:iCs/>
          <w:color w:val="000000"/>
          <w:sz w:val="21"/>
          <w:szCs w:val="21"/>
        </w:rPr>
      </w:pPr>
    </w:p>
    <w:bookmarkEnd w:id="0"/>
    <w:bookmarkEnd w:id="1"/>
    <w:p w14:paraId="022F4E32" w14:textId="77777777" w:rsidR="00A20361" w:rsidRDefault="00A20361" w:rsidP="00A20361"/>
    <w:p w14:paraId="3DBBABD9" w14:textId="102A8E29" w:rsidR="009232C0" w:rsidRPr="008661D0" w:rsidRDefault="009232C0">
      <w:pPr>
        <w:rPr>
          <w:b/>
          <w:bCs/>
        </w:rPr>
      </w:pPr>
    </w:p>
    <w:sectPr w:rsidR="009232C0" w:rsidRPr="008661D0" w:rsidSect="0048210B">
      <w:footerReference w:type="default" r:id="rId1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F2DE" w14:textId="77777777" w:rsidR="00157748" w:rsidRDefault="00157748" w:rsidP="00A20361">
      <w:r>
        <w:separator/>
      </w:r>
    </w:p>
  </w:endnote>
  <w:endnote w:type="continuationSeparator" w:id="0">
    <w:p w14:paraId="75CDB44E" w14:textId="77777777" w:rsidR="00157748" w:rsidRDefault="00157748" w:rsidP="00A2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ont000000001cca88a7">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85631"/>
      <w:docPartObj>
        <w:docPartGallery w:val="Page Numbers (Bottom of Page)"/>
        <w:docPartUnique/>
      </w:docPartObj>
    </w:sdtPr>
    <w:sdtEndPr>
      <w:rPr>
        <w:noProof/>
      </w:rPr>
    </w:sdtEndPr>
    <w:sdtContent>
      <w:p w14:paraId="32907BC6" w14:textId="52CE19C1" w:rsidR="0081497C" w:rsidRDefault="008149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E92A47" w14:textId="77777777" w:rsidR="0081497C" w:rsidRDefault="0081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A918" w14:textId="77777777" w:rsidR="00157748" w:rsidRDefault="00157748" w:rsidP="00A20361">
      <w:r>
        <w:separator/>
      </w:r>
    </w:p>
  </w:footnote>
  <w:footnote w:type="continuationSeparator" w:id="0">
    <w:p w14:paraId="126A546B" w14:textId="77777777" w:rsidR="00157748" w:rsidRDefault="00157748" w:rsidP="00A20361">
      <w:r>
        <w:continuationSeparator/>
      </w:r>
    </w:p>
  </w:footnote>
  <w:footnote w:id="1">
    <w:p w14:paraId="0293FF8B" w14:textId="4D684EF3" w:rsidR="0081497C" w:rsidRDefault="0081497C" w:rsidP="00072618">
      <w:pPr>
        <w:jc w:val="both"/>
      </w:pPr>
      <w:r>
        <w:rPr>
          <w:rStyle w:val="FootnoteReference"/>
        </w:rPr>
        <w:footnoteRef/>
      </w:r>
      <w:r>
        <w:t xml:space="preserve"> :</w:t>
      </w:r>
      <w:r w:rsidRPr="000A2B38">
        <w:rPr>
          <w:color w:val="000000"/>
          <w:sz w:val="29"/>
          <w:szCs w:val="29"/>
        </w:rPr>
        <w:t xml:space="preserve"> </w:t>
      </w:r>
      <w:r>
        <w:rPr>
          <w:color w:val="000000"/>
          <w:sz w:val="20"/>
          <w:szCs w:val="20"/>
        </w:rPr>
        <w:t>Haiyang Kong,</w:t>
      </w:r>
      <w:r w:rsidRPr="000A2B38">
        <w:rPr>
          <w:color w:val="000000"/>
          <w:sz w:val="20"/>
          <w:szCs w:val="20"/>
        </w:rPr>
        <w:t xml:space="preserve"> Department of Economics, University of Connecticut, </w:t>
      </w:r>
      <w:r w:rsidRPr="00EA3F33">
        <w:rPr>
          <w:color w:val="000000"/>
          <w:sz w:val="20"/>
          <w:szCs w:val="20"/>
        </w:rPr>
        <w:t>365 Fairfield Way</w:t>
      </w:r>
      <w:r w:rsidRPr="000A2B38">
        <w:rPr>
          <w:color w:val="000000"/>
          <w:sz w:val="20"/>
          <w:szCs w:val="20"/>
        </w:rPr>
        <w:t xml:space="preserve">, Unit 1063, </w:t>
      </w:r>
      <w:r>
        <w:rPr>
          <w:color w:val="000000"/>
          <w:sz w:val="20"/>
          <w:szCs w:val="20"/>
        </w:rPr>
        <w:t>Storrs, CT 06269-1063, haiyang.kong</w:t>
      </w:r>
      <w:r w:rsidRPr="000A2B38">
        <w:rPr>
          <w:color w:val="000000"/>
          <w:sz w:val="20"/>
          <w:szCs w:val="20"/>
        </w:rPr>
        <w:t>@uconn.edu.</w:t>
      </w:r>
      <w:r w:rsidRPr="004C20DD">
        <w:rPr>
          <w:color w:val="000000"/>
          <w:sz w:val="20"/>
          <w:szCs w:val="20"/>
        </w:rPr>
        <w:t xml:space="preserve"> I </w:t>
      </w:r>
      <w:r>
        <w:rPr>
          <w:color w:val="000000"/>
          <w:sz w:val="20"/>
          <w:szCs w:val="20"/>
        </w:rPr>
        <w:t>am grateful for invaluable guidance and advice from</w:t>
      </w:r>
      <w:r w:rsidRPr="004C20DD">
        <w:rPr>
          <w:color w:val="000000"/>
          <w:sz w:val="20"/>
          <w:szCs w:val="20"/>
        </w:rPr>
        <w:t xml:space="preserve"> my advisor</w:t>
      </w:r>
      <w:r>
        <w:rPr>
          <w:color w:val="000000"/>
          <w:sz w:val="20"/>
          <w:szCs w:val="20"/>
        </w:rPr>
        <w:t>s</w:t>
      </w:r>
      <w:r w:rsidRPr="004C20DD">
        <w:rPr>
          <w:color w:val="000000"/>
          <w:sz w:val="20"/>
          <w:szCs w:val="20"/>
        </w:rPr>
        <w:t xml:space="preserve"> Delia Furtado, Stephen Ross and Eric Brunner. I further thank </w:t>
      </w:r>
      <w:r>
        <w:rPr>
          <w:color w:val="000000"/>
          <w:sz w:val="20"/>
          <w:szCs w:val="20"/>
        </w:rPr>
        <w:t>S</w:t>
      </w:r>
      <w:r>
        <w:rPr>
          <w:rFonts w:hint="eastAsia"/>
          <w:color w:val="000000"/>
          <w:sz w:val="20"/>
          <w:szCs w:val="20"/>
        </w:rPr>
        <w:t>ara</w:t>
      </w:r>
      <w:r>
        <w:rPr>
          <w:color w:val="000000"/>
          <w:sz w:val="20"/>
          <w:szCs w:val="20"/>
        </w:rPr>
        <w:t>h Turner, Kevin Lang, Joshua H</w:t>
      </w:r>
      <w:r>
        <w:rPr>
          <w:rFonts w:hint="eastAsia"/>
          <w:color w:val="000000"/>
          <w:sz w:val="20"/>
          <w:szCs w:val="20"/>
        </w:rPr>
        <w:t>yman</w:t>
      </w:r>
      <w:r>
        <w:rPr>
          <w:color w:val="000000"/>
          <w:sz w:val="20"/>
          <w:szCs w:val="20"/>
        </w:rPr>
        <w:t xml:space="preserve">, </w:t>
      </w:r>
      <w:r w:rsidRPr="004C20DD">
        <w:rPr>
          <w:color w:val="000000"/>
          <w:sz w:val="20"/>
          <w:szCs w:val="20"/>
        </w:rPr>
        <w:t>Jennifer Hunt, Kirabo Jackson, Marianne Bitler</w:t>
      </w:r>
      <w:r>
        <w:rPr>
          <w:color w:val="000000"/>
          <w:sz w:val="20"/>
          <w:szCs w:val="20"/>
        </w:rPr>
        <w:t xml:space="preserve">, </w:t>
      </w:r>
      <w:r w:rsidRPr="004C20DD">
        <w:rPr>
          <w:color w:val="000000"/>
          <w:sz w:val="20"/>
          <w:szCs w:val="20"/>
        </w:rPr>
        <w:t>Michela Carlana</w:t>
      </w:r>
      <w:r>
        <w:rPr>
          <w:color w:val="000000"/>
          <w:sz w:val="20"/>
          <w:szCs w:val="20"/>
        </w:rPr>
        <w:t xml:space="preserve">, </w:t>
      </w:r>
      <w:r w:rsidRPr="004C20DD">
        <w:rPr>
          <w:color w:val="000000"/>
          <w:sz w:val="20"/>
          <w:szCs w:val="20"/>
        </w:rPr>
        <w:t>Matthew Ross</w:t>
      </w:r>
      <w:r>
        <w:rPr>
          <w:color w:val="000000"/>
          <w:sz w:val="20"/>
          <w:szCs w:val="20"/>
        </w:rPr>
        <w:t xml:space="preserve"> and </w:t>
      </w:r>
      <w:r w:rsidRPr="003D13EE">
        <w:rPr>
          <w:color w:val="000000"/>
          <w:sz w:val="20"/>
          <w:szCs w:val="20"/>
        </w:rPr>
        <w:t>Caroline Hoxby</w:t>
      </w:r>
      <w:r>
        <w:rPr>
          <w:color w:val="000000"/>
          <w:sz w:val="20"/>
          <w:szCs w:val="20"/>
        </w:rPr>
        <w:t xml:space="preserve"> </w:t>
      </w:r>
      <w:r w:rsidRPr="004C20DD">
        <w:rPr>
          <w:color w:val="000000"/>
          <w:sz w:val="20"/>
          <w:szCs w:val="20"/>
        </w:rPr>
        <w:t>for their helpful comments and suggestions.</w:t>
      </w:r>
    </w:p>
  </w:footnote>
  <w:footnote w:id="2">
    <w:p w14:paraId="63013329" w14:textId="37240868" w:rsidR="0081497C" w:rsidRDefault="0081497C" w:rsidP="00202AE3">
      <w:pPr>
        <w:pStyle w:val="FootnoteText"/>
        <w:jc w:val="both"/>
      </w:pPr>
      <w:r w:rsidRPr="00202AE3">
        <w:rPr>
          <w:rStyle w:val="FootnoteReference"/>
          <w:sz w:val="20"/>
          <w:szCs w:val="20"/>
        </w:rPr>
        <w:footnoteRef/>
      </w:r>
      <w:r w:rsidRPr="00202AE3">
        <w:rPr>
          <w:sz w:val="20"/>
          <w:szCs w:val="20"/>
        </w:rPr>
        <w:t xml:space="preserve"> Feler and Senses (2017) use data on school finances </w:t>
      </w:r>
      <w:r>
        <w:rPr>
          <w:sz w:val="20"/>
          <w:szCs w:val="20"/>
        </w:rPr>
        <w:t xml:space="preserve">per resident </w:t>
      </w:r>
      <w:r w:rsidRPr="00202AE3">
        <w:rPr>
          <w:sz w:val="20"/>
          <w:szCs w:val="20"/>
        </w:rPr>
        <w:t xml:space="preserve">gathered from the U.S. Census Bureau’s historical data on State and Local Government Finances. The school expenditure data in the NCES is calculated on a per pupil basis providing a better measure of the funds available for the students needing them. </w:t>
      </w:r>
    </w:p>
    <w:p w14:paraId="0245C85D" w14:textId="7D6EAF5E" w:rsidR="0081497C" w:rsidRDefault="0081497C" w:rsidP="00115F5B">
      <w:pPr>
        <w:pStyle w:val="FootnoteText"/>
      </w:pPr>
    </w:p>
  </w:footnote>
  <w:footnote w:id="3">
    <w:p w14:paraId="7B815CE3" w14:textId="77777777" w:rsidR="0081497C" w:rsidRPr="00F8666F" w:rsidRDefault="0081497C" w:rsidP="00A20361">
      <w:pPr>
        <w:pStyle w:val="NormalWeb"/>
        <w:spacing w:before="0" w:beforeAutospacing="0" w:after="0" w:afterAutospacing="0"/>
        <w:jc w:val="both"/>
      </w:pPr>
      <w:r>
        <w:rPr>
          <w:rStyle w:val="FootnoteReference"/>
        </w:rPr>
        <w:footnoteRef/>
      </w:r>
      <w:r>
        <w:t xml:space="preserve"> </w:t>
      </w:r>
      <w:r w:rsidRPr="002E1410">
        <w:rPr>
          <w:rFonts w:ascii="Times" w:hAnsi="Times"/>
          <w:sz w:val="20"/>
          <w:szCs w:val="20"/>
        </w:rPr>
        <w:t xml:space="preserve">During the period 1978-1984, China’s grain production grew by an average of 5% annually in real terms, vegetables by 7.5%, fruit by 7.2%, and cotton by 19.3%, much higher than the growth rates in the 1960s and 1970s, details in </w:t>
      </w:r>
      <w:r w:rsidRPr="002E1410">
        <w:rPr>
          <w:rFonts w:ascii="Times" w:hAnsi="Times"/>
          <w:i/>
          <w:sz w:val="20"/>
          <w:szCs w:val="20"/>
        </w:rPr>
        <w:t>China’s Agriculture within the World Trading System, Table 2</w:t>
      </w:r>
      <w:r w:rsidRPr="002E1410">
        <w:rPr>
          <w:rFonts w:ascii="Times" w:hAnsi="Times"/>
          <w:sz w:val="20"/>
          <w:szCs w:val="20"/>
        </w:rPr>
        <w:t>.</w:t>
      </w:r>
      <w:r w:rsidRPr="00F8666F">
        <w:rPr>
          <w:rFonts w:ascii="Book Antiqua" w:hAnsi="Book Antiqua"/>
          <w:sz w:val="22"/>
          <w:szCs w:val="22"/>
        </w:rPr>
        <w:t xml:space="preserve"> </w:t>
      </w:r>
    </w:p>
  </w:footnote>
  <w:footnote w:id="4">
    <w:p w14:paraId="2CD56041" w14:textId="1467BE2E" w:rsidR="0081497C" w:rsidRPr="003454A6" w:rsidRDefault="0081497C" w:rsidP="00A20361">
      <w:pPr>
        <w:pStyle w:val="NormalWeb"/>
        <w:spacing w:before="0" w:beforeAutospacing="0" w:after="0" w:afterAutospacing="0"/>
        <w:rPr>
          <w:rFonts w:ascii="Times" w:hAnsi="Times"/>
          <w:sz w:val="20"/>
          <w:szCs w:val="20"/>
        </w:rPr>
      </w:pPr>
      <w:r>
        <w:rPr>
          <w:rStyle w:val="FootnoteReference"/>
        </w:rPr>
        <w:footnoteRef/>
      </w:r>
      <w:r>
        <w:t xml:space="preserve"> </w:t>
      </w:r>
      <w:r w:rsidRPr="003454A6">
        <w:rPr>
          <w:rFonts w:ascii="Times" w:hAnsi="Times"/>
          <w:sz w:val="20"/>
          <w:szCs w:val="20"/>
        </w:rPr>
        <w:t xml:space="preserve">For comparison with other countries, refer to </w:t>
      </w:r>
      <w:r w:rsidRPr="003454A6">
        <w:rPr>
          <w:rFonts w:ascii="Times" w:hAnsi="Times"/>
          <w:i/>
          <w:sz w:val="20"/>
          <w:szCs w:val="20"/>
        </w:rPr>
        <w:t>Chinese Economic Performance in the Long Run: 960–2030 AD, Table 3.4.</w:t>
      </w:r>
    </w:p>
  </w:footnote>
  <w:footnote w:id="5">
    <w:p w14:paraId="0CA81900" w14:textId="6861E257" w:rsidR="0081497C" w:rsidRPr="00A24D1D" w:rsidRDefault="0081497C" w:rsidP="00A24D1D">
      <w:pPr>
        <w:pStyle w:val="FootnoteText"/>
        <w:jc w:val="both"/>
        <w:rPr>
          <w:rFonts w:ascii="Times" w:hAnsi="Times"/>
          <w:sz w:val="20"/>
          <w:szCs w:val="20"/>
        </w:rPr>
      </w:pPr>
      <w:r>
        <w:rPr>
          <w:rStyle w:val="FootnoteReference"/>
        </w:rPr>
        <w:footnoteRef/>
      </w:r>
      <w:r>
        <w:t xml:space="preserve"> </w:t>
      </w:r>
      <w:r w:rsidRPr="00A24D1D">
        <w:rPr>
          <w:rFonts w:ascii="Times" w:hAnsi="Times"/>
          <w:sz w:val="20"/>
          <w:szCs w:val="20"/>
        </w:rPr>
        <w:t xml:space="preserve">While in the U.S., K-12 students can attend public schools, charter schools, private schools and home schools, about 90% of primary and secondary students attend public schools. </w:t>
      </w:r>
      <w:r w:rsidRPr="00B248E3">
        <w:rPr>
          <w:rFonts w:ascii="Times" w:hAnsi="Times"/>
          <w:sz w:val="20"/>
          <w:szCs w:val="20"/>
        </w:rPr>
        <w:t>According to National Center for Education Statistics, The Condition of Education, students enrolled in private school has decreased from 11.4% in 1999 to 10.2% in 2015</w:t>
      </w:r>
      <w:r>
        <w:rPr>
          <w:rFonts w:ascii="Times" w:hAnsi="Times"/>
          <w:sz w:val="20"/>
          <w:szCs w:val="20"/>
        </w:rPr>
        <w:t>.</w:t>
      </w:r>
    </w:p>
  </w:footnote>
  <w:footnote w:id="6">
    <w:p w14:paraId="64B14572" w14:textId="5089C9DB" w:rsidR="0081497C" w:rsidRPr="0032496A" w:rsidRDefault="0081497C" w:rsidP="00A20361">
      <w:pPr>
        <w:jc w:val="both"/>
        <w:rPr>
          <w:sz w:val="20"/>
          <w:szCs w:val="20"/>
        </w:rPr>
      </w:pPr>
      <w:r>
        <w:rPr>
          <w:rStyle w:val="FootnoteReference"/>
        </w:rPr>
        <w:footnoteRef/>
      </w:r>
      <w:r>
        <w:t xml:space="preserve"> </w:t>
      </w:r>
      <w:r w:rsidRPr="002E27DC">
        <w:rPr>
          <w:sz w:val="20"/>
          <w:szCs w:val="20"/>
        </w:rPr>
        <w:t xml:space="preserve">Details can be found in </w:t>
      </w:r>
      <w:r w:rsidRPr="00312D2C">
        <w:rPr>
          <w:sz w:val="20"/>
          <w:szCs w:val="20"/>
        </w:rPr>
        <w:t xml:space="preserve">North America EdCentral and </w:t>
      </w:r>
      <w:r w:rsidRPr="0032496A">
        <w:rPr>
          <w:sz w:val="20"/>
          <w:szCs w:val="20"/>
        </w:rPr>
        <w:t>U.S. Census Bureau, Public Elementary-Secondary Education Finance Data.</w:t>
      </w:r>
    </w:p>
  </w:footnote>
  <w:footnote w:id="7">
    <w:p w14:paraId="2623C8CF" w14:textId="3F633CEC" w:rsidR="0081497C" w:rsidRDefault="0081497C" w:rsidP="001D774A">
      <w:pPr>
        <w:pStyle w:val="FootnoteText"/>
        <w:jc w:val="both"/>
      </w:pPr>
      <w:r w:rsidRPr="003454A6">
        <w:rPr>
          <w:rStyle w:val="FootnoteReference"/>
          <w:sz w:val="20"/>
          <w:szCs w:val="20"/>
        </w:rPr>
        <w:footnoteRef/>
      </w:r>
      <w:r w:rsidRPr="003454A6">
        <w:rPr>
          <w:sz w:val="20"/>
          <w:szCs w:val="20"/>
        </w:rPr>
        <w:t xml:space="preserve"> Detailed 2000 tax data is taken from </w:t>
      </w:r>
      <w:hyperlink r:id="rId1" w:history="1">
        <w:r w:rsidRPr="003454A6">
          <w:rPr>
            <w:rStyle w:val="Hyperlink"/>
            <w:sz w:val="20"/>
            <w:szCs w:val="20"/>
          </w:rPr>
          <w:t>https://www.census.gov/data/tables/2001/econ/qtax/historical.html</w:t>
        </w:r>
      </w:hyperlink>
      <w:r>
        <w:rPr>
          <w:rStyle w:val="Hyperlink"/>
          <w:sz w:val="20"/>
          <w:szCs w:val="20"/>
        </w:rPr>
        <w:t xml:space="preserve">. </w:t>
      </w:r>
      <w:r>
        <w:rPr>
          <w:sz w:val="20"/>
          <w:szCs w:val="20"/>
        </w:rPr>
        <w:t>F</w:t>
      </w:r>
      <w:r w:rsidRPr="003454A6">
        <w:rPr>
          <w:sz w:val="20"/>
          <w:szCs w:val="20"/>
        </w:rPr>
        <w:t>rom 1990 to 2010</w:t>
      </w:r>
      <w:r>
        <w:rPr>
          <w:sz w:val="20"/>
          <w:szCs w:val="20"/>
        </w:rPr>
        <w:t>,</w:t>
      </w:r>
      <w:r w:rsidRPr="003454A6">
        <w:rPr>
          <w:sz w:val="20"/>
          <w:szCs w:val="20"/>
        </w:rPr>
        <w:t xml:space="preserve"> the </w:t>
      </w:r>
      <w:r>
        <w:rPr>
          <w:sz w:val="20"/>
          <w:szCs w:val="20"/>
        </w:rPr>
        <w:t xml:space="preserve">share of </w:t>
      </w:r>
      <w:r w:rsidRPr="003454A6">
        <w:rPr>
          <w:sz w:val="20"/>
          <w:szCs w:val="20"/>
        </w:rPr>
        <w:t xml:space="preserve">property tax in total local tax declined from </w:t>
      </w:r>
      <w:r>
        <w:rPr>
          <w:sz w:val="20"/>
          <w:szCs w:val="20"/>
        </w:rPr>
        <w:t>76</w:t>
      </w:r>
      <w:r w:rsidRPr="003454A6">
        <w:rPr>
          <w:sz w:val="20"/>
          <w:szCs w:val="20"/>
        </w:rPr>
        <w:t>% to 59%</w:t>
      </w:r>
      <w:r>
        <w:rPr>
          <w:sz w:val="20"/>
          <w:szCs w:val="20"/>
        </w:rPr>
        <w:t>,</w:t>
      </w:r>
      <w:r w:rsidRPr="003454A6">
        <w:rPr>
          <w:sz w:val="20"/>
          <w:szCs w:val="20"/>
        </w:rPr>
        <w:t xml:space="preserve"> </w:t>
      </w:r>
      <w:r>
        <w:rPr>
          <w:sz w:val="20"/>
          <w:szCs w:val="20"/>
        </w:rPr>
        <w:t>while</w:t>
      </w:r>
      <w:r w:rsidRPr="003454A6">
        <w:rPr>
          <w:sz w:val="20"/>
          <w:szCs w:val="20"/>
        </w:rPr>
        <w:t xml:space="preserve"> the shares of individual income tax and sales tax increased.</w:t>
      </w:r>
    </w:p>
  </w:footnote>
  <w:footnote w:id="8">
    <w:p w14:paraId="23ECAA1E" w14:textId="77777777" w:rsidR="0081497C" w:rsidRPr="009F4CDC" w:rsidRDefault="0081497C" w:rsidP="00B44B52">
      <w:pPr>
        <w:jc w:val="both"/>
      </w:pPr>
      <w:r>
        <w:rPr>
          <w:rStyle w:val="FootnoteReference"/>
        </w:rPr>
        <w:footnoteRef/>
      </w:r>
      <w:r>
        <w:t xml:space="preserve"> </w:t>
      </w:r>
      <w:r>
        <w:rPr>
          <w:sz w:val="20"/>
          <w:szCs w:val="20"/>
        </w:rPr>
        <w:t xml:space="preserve">There are </w:t>
      </w:r>
      <w:r w:rsidRPr="009F4CDC">
        <w:rPr>
          <w:sz w:val="20"/>
          <w:szCs w:val="20"/>
        </w:rPr>
        <w:t>39</w:t>
      </w:r>
      <w:r>
        <w:rPr>
          <w:sz w:val="20"/>
          <w:szCs w:val="20"/>
        </w:rPr>
        <w:t>7</w:t>
      </w:r>
      <w:r w:rsidRPr="009F4CDC">
        <w:rPr>
          <w:sz w:val="20"/>
          <w:szCs w:val="20"/>
        </w:rPr>
        <w:t xml:space="preserve"> manufacturing industries defined by </w:t>
      </w:r>
      <w:r>
        <w:rPr>
          <w:sz w:val="20"/>
          <w:szCs w:val="20"/>
        </w:rPr>
        <w:t xml:space="preserve">the </w:t>
      </w:r>
      <w:r w:rsidRPr="009F4CDC">
        <w:rPr>
          <w:sz w:val="20"/>
          <w:szCs w:val="20"/>
        </w:rPr>
        <w:t>1987 version of Standard Industrial Classification (SIC).</w:t>
      </w:r>
    </w:p>
  </w:footnote>
  <w:footnote w:id="9">
    <w:p w14:paraId="4947072E" w14:textId="13B58520" w:rsidR="0081497C" w:rsidRDefault="0081497C" w:rsidP="00B44B52">
      <w:pPr>
        <w:pStyle w:val="FootnoteText"/>
        <w:jc w:val="both"/>
      </w:pPr>
      <w:r>
        <w:rPr>
          <w:rStyle w:val="FootnoteReference"/>
        </w:rPr>
        <w:footnoteRef/>
      </w:r>
      <w:r>
        <w:t xml:space="preserve"> </w:t>
      </w:r>
      <w:r w:rsidRPr="000849CF">
        <w:rPr>
          <w:sz w:val="20"/>
          <w:szCs w:val="20"/>
        </w:rPr>
        <w:t xml:space="preserve">Data </w:t>
      </w:r>
      <w:r>
        <w:rPr>
          <w:sz w:val="20"/>
          <w:szCs w:val="20"/>
        </w:rPr>
        <w:t xml:space="preserve">on imports are only available starting in the year </w:t>
      </w:r>
      <w:r w:rsidRPr="000849CF">
        <w:rPr>
          <w:sz w:val="20"/>
          <w:szCs w:val="20"/>
        </w:rPr>
        <w:t>1991 because of lags in countries</w:t>
      </w:r>
      <w:r>
        <w:rPr>
          <w:sz w:val="20"/>
          <w:szCs w:val="20"/>
        </w:rPr>
        <w:t>’ adoption of the</w:t>
      </w:r>
      <w:r w:rsidRPr="000849CF">
        <w:rPr>
          <w:sz w:val="20"/>
          <w:szCs w:val="20"/>
        </w:rPr>
        <w:t xml:space="preserve"> HS classification.</w:t>
      </w:r>
    </w:p>
  </w:footnote>
  <w:footnote w:id="10">
    <w:p w14:paraId="44EB5816" w14:textId="77777777" w:rsidR="0081497C" w:rsidRPr="00730DFD" w:rsidRDefault="0081497C" w:rsidP="00B44B52">
      <w:pPr>
        <w:pStyle w:val="NormalWeb"/>
        <w:spacing w:before="0" w:beforeAutospacing="0" w:after="0" w:afterAutospacing="0"/>
        <w:jc w:val="both"/>
        <w:rPr>
          <w:sz w:val="22"/>
          <w:szCs w:val="22"/>
        </w:rPr>
      </w:pPr>
      <w:r>
        <w:rPr>
          <w:rStyle w:val="FootnoteReference"/>
        </w:rPr>
        <w:footnoteRef/>
      </w:r>
      <w:r>
        <w:t xml:space="preserve"> </w:t>
      </w:r>
      <w:r w:rsidRPr="00965D86">
        <w:rPr>
          <w:sz w:val="20"/>
          <w:szCs w:val="20"/>
        </w:rPr>
        <w:t xml:space="preserve">The </w:t>
      </w:r>
      <w:r>
        <w:rPr>
          <w:sz w:val="20"/>
          <w:szCs w:val="20"/>
        </w:rPr>
        <w:t xml:space="preserve">crosswalk from counties in different years to 1990 commuting zones is available on David Dorn’s website: </w:t>
      </w:r>
      <w:r w:rsidRPr="00730DFD">
        <w:rPr>
          <w:color w:val="0000FF"/>
          <w:sz w:val="20"/>
          <w:szCs w:val="20"/>
        </w:rPr>
        <w:t>http://www.ddorn.net/data.htm</w:t>
      </w:r>
    </w:p>
  </w:footnote>
  <w:footnote w:id="11">
    <w:p w14:paraId="568EA678" w14:textId="2AB6175B" w:rsidR="0081497C" w:rsidRPr="000063ED" w:rsidRDefault="0081497C">
      <w:pPr>
        <w:pStyle w:val="FootnoteText"/>
        <w:rPr>
          <w:sz w:val="20"/>
          <w:szCs w:val="20"/>
        </w:rPr>
      </w:pPr>
      <w:r>
        <w:rPr>
          <w:rStyle w:val="FootnoteReference"/>
        </w:rPr>
        <w:footnoteRef/>
      </w:r>
      <w:r>
        <w:t xml:space="preserve"> </w:t>
      </w:r>
      <w:r w:rsidRPr="000063ED">
        <w:rPr>
          <w:sz w:val="20"/>
          <w:szCs w:val="20"/>
        </w:rPr>
        <w:t xml:space="preserve">My estimates are within 5 percent of </w:t>
      </w:r>
      <w:r>
        <w:rPr>
          <w:rFonts w:hint="eastAsia"/>
          <w:sz w:val="20"/>
          <w:szCs w:val="20"/>
        </w:rPr>
        <w:t>the</w:t>
      </w:r>
      <w:r>
        <w:rPr>
          <w:sz w:val="20"/>
          <w:szCs w:val="20"/>
        </w:rPr>
        <w:t xml:space="preserve"> </w:t>
      </w:r>
      <w:r w:rsidRPr="000063ED">
        <w:rPr>
          <w:sz w:val="20"/>
          <w:szCs w:val="20"/>
        </w:rPr>
        <w:t>measure</w:t>
      </w:r>
      <w:r>
        <w:rPr>
          <w:sz w:val="20"/>
          <w:szCs w:val="20"/>
        </w:rPr>
        <w:t xml:space="preserve">s created in </w:t>
      </w:r>
      <w:r w:rsidRPr="0063524A">
        <w:rPr>
          <w:sz w:val="20"/>
          <w:szCs w:val="20"/>
        </w:rPr>
        <w:t>Autor et al.’s (2013)</w:t>
      </w:r>
      <w:r w:rsidRPr="000063ED">
        <w:rPr>
          <w:sz w:val="20"/>
          <w:szCs w:val="20"/>
        </w:rPr>
        <w:t>.</w:t>
      </w:r>
    </w:p>
  </w:footnote>
  <w:footnote w:id="12">
    <w:p w14:paraId="139F1ECF" w14:textId="77777777" w:rsidR="0081497C" w:rsidRPr="00E67145" w:rsidRDefault="0081497C" w:rsidP="00B44B52">
      <w:pPr>
        <w:jc w:val="both"/>
        <w:rPr>
          <w:sz w:val="20"/>
          <w:szCs w:val="20"/>
        </w:rPr>
      </w:pPr>
      <w:r>
        <w:rPr>
          <w:rStyle w:val="FootnoteReference"/>
        </w:rPr>
        <w:footnoteRef/>
      </w:r>
      <w:r>
        <w:t xml:space="preserve"> </w:t>
      </w:r>
      <w:r w:rsidRPr="00E67145">
        <w:rPr>
          <w:sz w:val="20"/>
          <w:szCs w:val="20"/>
        </w:rPr>
        <w:t xml:space="preserve">According to National Center for Education Statistics, in </w:t>
      </w:r>
      <w:r>
        <w:rPr>
          <w:sz w:val="20"/>
          <w:szCs w:val="20"/>
        </w:rPr>
        <w:t xml:space="preserve">the </w:t>
      </w:r>
      <w:r w:rsidRPr="00E67145">
        <w:rPr>
          <w:sz w:val="20"/>
          <w:szCs w:val="20"/>
        </w:rPr>
        <w:t xml:space="preserve">fall </w:t>
      </w:r>
      <w:r>
        <w:rPr>
          <w:sz w:val="20"/>
          <w:szCs w:val="20"/>
        </w:rPr>
        <w:t xml:space="preserve">of </w:t>
      </w:r>
      <w:r w:rsidRPr="00E67145">
        <w:rPr>
          <w:sz w:val="20"/>
          <w:szCs w:val="20"/>
        </w:rPr>
        <w:t>2018, about 56.6 million students attend</w:t>
      </w:r>
      <w:r>
        <w:rPr>
          <w:sz w:val="20"/>
          <w:szCs w:val="20"/>
        </w:rPr>
        <w:t>ed</w:t>
      </w:r>
      <w:r w:rsidRPr="00E67145">
        <w:rPr>
          <w:sz w:val="20"/>
          <w:szCs w:val="20"/>
        </w:rPr>
        <w:t xml:space="preserve"> elementary and secondary schools, among them, 50.7 million </w:t>
      </w:r>
      <w:r>
        <w:rPr>
          <w:sz w:val="20"/>
          <w:szCs w:val="20"/>
        </w:rPr>
        <w:t>were</w:t>
      </w:r>
      <w:r w:rsidRPr="00E67145">
        <w:rPr>
          <w:sz w:val="20"/>
          <w:szCs w:val="20"/>
        </w:rPr>
        <w:t xml:space="preserve"> enrolled in public schools.</w:t>
      </w:r>
    </w:p>
  </w:footnote>
  <w:footnote w:id="13">
    <w:p w14:paraId="5A6DA45E" w14:textId="77777777" w:rsidR="0081497C" w:rsidRDefault="0081497C" w:rsidP="00B44B52">
      <w:pPr>
        <w:pStyle w:val="FootnoteText"/>
        <w:jc w:val="both"/>
      </w:pPr>
      <w:r>
        <w:rPr>
          <w:rStyle w:val="FootnoteReference"/>
        </w:rPr>
        <w:footnoteRef/>
      </w:r>
      <w:r>
        <w:t xml:space="preserve"> </w:t>
      </w:r>
      <w:r w:rsidRPr="000849CF">
        <w:rPr>
          <w:sz w:val="20"/>
          <w:szCs w:val="20"/>
        </w:rPr>
        <w:t xml:space="preserve">The crosswalk file </w:t>
      </w:r>
      <w:r>
        <w:rPr>
          <w:sz w:val="20"/>
          <w:szCs w:val="20"/>
        </w:rPr>
        <w:t>can be</w:t>
      </w:r>
      <w:r w:rsidRPr="000849CF">
        <w:rPr>
          <w:sz w:val="20"/>
          <w:szCs w:val="20"/>
        </w:rPr>
        <w:t xml:space="preserve"> downloaded from </w:t>
      </w:r>
      <w:hyperlink r:id="rId2" w:history="1">
        <w:r w:rsidRPr="000849CF">
          <w:rPr>
            <w:rStyle w:val="Hyperlink"/>
            <w:sz w:val="20"/>
            <w:szCs w:val="20"/>
          </w:rPr>
          <w:t>https://www.ers.usda.gov/data-products/commuting-zones-and-labor-market-areas/</w:t>
        </w:r>
      </w:hyperlink>
      <w:r>
        <w:rPr>
          <w:rStyle w:val="Hyperlink"/>
          <w:sz w:val="20"/>
          <w:szCs w:val="20"/>
        </w:rPr>
        <w:t xml:space="preserve">. </w:t>
      </w:r>
      <w:r>
        <w:rPr>
          <w:sz w:val="20"/>
          <w:szCs w:val="20"/>
        </w:rPr>
        <w:t>S</w:t>
      </w:r>
      <w:r w:rsidRPr="000849CF">
        <w:rPr>
          <w:sz w:val="20"/>
          <w:szCs w:val="20"/>
        </w:rPr>
        <w:t>ome school districts and counties have changed their names, split into different parts, or disappeared</w:t>
      </w:r>
      <w:r>
        <w:rPr>
          <w:sz w:val="20"/>
          <w:szCs w:val="20"/>
        </w:rPr>
        <w:t>. D</w:t>
      </w:r>
      <w:r w:rsidRPr="000849CF">
        <w:rPr>
          <w:sz w:val="20"/>
          <w:szCs w:val="20"/>
        </w:rPr>
        <w:t xml:space="preserve">etails </w:t>
      </w:r>
      <w:r>
        <w:rPr>
          <w:sz w:val="20"/>
          <w:szCs w:val="20"/>
        </w:rPr>
        <w:t xml:space="preserve">on how I addressed these issues </w:t>
      </w:r>
      <w:r w:rsidRPr="000849CF">
        <w:rPr>
          <w:sz w:val="20"/>
          <w:szCs w:val="20"/>
        </w:rPr>
        <w:t xml:space="preserve">will be provided in </w:t>
      </w:r>
      <w:r>
        <w:rPr>
          <w:sz w:val="20"/>
          <w:szCs w:val="20"/>
        </w:rPr>
        <w:t xml:space="preserve">the </w:t>
      </w:r>
      <w:r w:rsidRPr="000849CF">
        <w:rPr>
          <w:sz w:val="20"/>
          <w:szCs w:val="20"/>
        </w:rPr>
        <w:t>appendix.</w:t>
      </w:r>
    </w:p>
  </w:footnote>
  <w:footnote w:id="14">
    <w:p w14:paraId="3B479AB1" w14:textId="77777777" w:rsidR="0081497C" w:rsidRPr="00BF0B7B" w:rsidRDefault="0081497C" w:rsidP="00B44B52">
      <w:pPr>
        <w:widowControl w:val="0"/>
        <w:autoSpaceDE w:val="0"/>
        <w:autoSpaceDN w:val="0"/>
        <w:adjustRightInd w:val="0"/>
        <w:spacing w:line="0" w:lineRule="atLeast"/>
        <w:jc w:val="both"/>
        <w:rPr>
          <w:rFonts w:ascii="Times" w:hAnsi="Times" w:cs="Times"/>
          <w:color w:val="000000"/>
        </w:rPr>
      </w:pPr>
      <w:r>
        <w:rPr>
          <w:rStyle w:val="FootnoteReference"/>
        </w:rPr>
        <w:footnoteRef/>
      </w:r>
      <w:r>
        <w:t xml:space="preserve"> </w:t>
      </w:r>
      <w:r>
        <w:rPr>
          <w:rFonts w:ascii="Times" w:hAnsi="Times" w:cs="Times"/>
          <w:color w:val="000000"/>
          <w:sz w:val="20"/>
          <w:szCs w:val="20"/>
        </w:rPr>
        <w:t>T</w:t>
      </w:r>
      <w:r w:rsidRPr="003C6930">
        <w:rPr>
          <w:rFonts w:ascii="Times" w:hAnsi="Times" w:cs="Times"/>
          <w:color w:val="000000"/>
          <w:sz w:val="20"/>
          <w:szCs w:val="20"/>
        </w:rPr>
        <w:t xml:space="preserve">he eight other high-income countries are: Australia, Denmark, Finland, Germany, Japan, New Zealand, Spain, and </w:t>
      </w:r>
      <w:r w:rsidRPr="00AB48B6">
        <w:rPr>
          <w:rFonts w:ascii="Times" w:hAnsi="Times" w:cs="Times"/>
          <w:color w:val="000000"/>
          <w:sz w:val="20"/>
          <w:szCs w:val="20"/>
        </w:rPr>
        <w:t>Switzerland. These are the rich countries with detailed trade data available from 1991.</w:t>
      </w:r>
      <w:r>
        <w:rPr>
          <w:rFonts w:ascii="Times" w:hAnsi="Times" w:cs="Times"/>
          <w:color w:val="000000"/>
          <w:sz w:val="21"/>
          <w:szCs w:val="21"/>
        </w:rPr>
        <w:t xml:space="preserve"> </w:t>
      </w:r>
    </w:p>
  </w:footnote>
  <w:footnote w:id="15">
    <w:p w14:paraId="45064B65" w14:textId="68F43822" w:rsidR="0081497C" w:rsidRDefault="0081497C" w:rsidP="00B44B52">
      <w:pPr>
        <w:pStyle w:val="FootnoteText"/>
        <w:jc w:val="both"/>
      </w:pPr>
      <w:r>
        <w:rPr>
          <w:rStyle w:val="FootnoteReference"/>
        </w:rPr>
        <w:footnoteRef/>
      </w:r>
      <w:r>
        <w:t xml:space="preserve"> </w:t>
      </w:r>
      <w:r w:rsidRPr="009618AC">
        <w:rPr>
          <w:rFonts w:hint="eastAsia"/>
          <w:sz w:val="20"/>
          <w:szCs w:val="20"/>
        </w:rPr>
        <w:t xml:space="preserve">In Autor et al. (2013), </w:t>
      </w:r>
      <w:r w:rsidRPr="009618AC">
        <w:rPr>
          <w:sz w:val="20"/>
          <w:szCs w:val="20"/>
        </w:rPr>
        <w:t>the authors</w:t>
      </w:r>
      <w:r w:rsidRPr="009618AC">
        <w:rPr>
          <w:rFonts w:hint="eastAsia"/>
          <w:sz w:val="20"/>
          <w:szCs w:val="20"/>
        </w:rPr>
        <w:t xml:space="preserve"> adopt</w:t>
      </w:r>
      <w:r w:rsidRPr="009618AC">
        <w:rPr>
          <w:sz w:val="20"/>
          <w:szCs w:val="20"/>
        </w:rPr>
        <w:t xml:space="preserve"> </w:t>
      </w:r>
      <w:r w:rsidRPr="009618AC">
        <w:rPr>
          <w:rFonts w:hint="eastAsia"/>
          <w:sz w:val="20"/>
          <w:szCs w:val="20"/>
        </w:rPr>
        <w:t xml:space="preserve">a gravity-based </w:t>
      </w:r>
      <w:r w:rsidRPr="009618AC">
        <w:rPr>
          <w:sz w:val="20"/>
          <w:szCs w:val="20"/>
        </w:rPr>
        <w:t>measurement of import exposure to capture the changes in productivity and transport costs of Chinese producers relative to US producers. This measure helps to neutralize demand conditions in import countries. Their results using this measure</w:t>
      </w:r>
      <w:r w:rsidRPr="009618AC">
        <w:rPr>
          <w:rFonts w:hint="eastAsia"/>
          <w:sz w:val="20"/>
          <w:szCs w:val="20"/>
        </w:rPr>
        <w:t xml:space="preserve"> </w:t>
      </w:r>
      <w:r w:rsidRPr="009618AC">
        <w:rPr>
          <w:sz w:val="20"/>
          <w:szCs w:val="20"/>
        </w:rPr>
        <w:t>are similar to their results from IV estimation suggesting that</w:t>
      </w:r>
      <w:r w:rsidRPr="009618AC">
        <w:rPr>
          <w:rFonts w:hint="eastAsia"/>
          <w:sz w:val="20"/>
          <w:szCs w:val="20"/>
        </w:rPr>
        <w:t xml:space="preserve"> </w:t>
      </w:r>
      <w:r w:rsidRPr="009618AC">
        <w:rPr>
          <w:sz w:val="20"/>
          <w:szCs w:val="20"/>
        </w:rPr>
        <w:t xml:space="preserve">the correlated import demand shocks across countries are not </w:t>
      </w:r>
      <w:r>
        <w:rPr>
          <w:sz w:val="20"/>
          <w:szCs w:val="20"/>
        </w:rPr>
        <w:t>very</w:t>
      </w:r>
      <w:r w:rsidRPr="009618AC">
        <w:rPr>
          <w:sz w:val="20"/>
          <w:szCs w:val="20"/>
        </w:rPr>
        <w:t xml:space="preserve"> important.</w:t>
      </w:r>
      <w:r w:rsidRPr="00313395">
        <w:rPr>
          <w:sz w:val="22"/>
          <w:szCs w:val="22"/>
        </w:rPr>
        <w:t xml:space="preserve"> </w:t>
      </w:r>
    </w:p>
  </w:footnote>
  <w:footnote w:id="16">
    <w:p w14:paraId="1D874C64" w14:textId="67247BA9" w:rsidR="0081497C" w:rsidRPr="003454A6" w:rsidRDefault="0081497C" w:rsidP="00B44B52">
      <w:pPr>
        <w:pStyle w:val="FootnoteText"/>
        <w:jc w:val="both"/>
        <w:rPr>
          <w:sz w:val="20"/>
          <w:szCs w:val="20"/>
        </w:rPr>
      </w:pPr>
      <w:r w:rsidRPr="003454A6">
        <w:rPr>
          <w:rStyle w:val="FootnoteReference"/>
          <w:sz w:val="20"/>
          <w:szCs w:val="20"/>
        </w:rPr>
        <w:footnoteRef/>
      </w:r>
      <w:r w:rsidRPr="003454A6">
        <w:rPr>
          <w:sz w:val="20"/>
          <w:szCs w:val="20"/>
        </w:rPr>
        <w:t xml:space="preserve"> </w:t>
      </w:r>
      <w:r w:rsidRPr="004E50DD">
        <w:rPr>
          <w:sz w:val="20"/>
          <w:szCs w:val="20"/>
        </w:rPr>
        <w:t xml:space="preserve"> </w:t>
      </w:r>
      <w:r>
        <w:rPr>
          <w:sz w:val="20"/>
          <w:szCs w:val="20"/>
        </w:rPr>
        <w:t xml:space="preserve">Detailed data on productivity growth can be found on the BLS website:  </w:t>
      </w:r>
      <w:hyperlink r:id="rId3" w:history="1">
        <w:r w:rsidRPr="009B4895">
          <w:rPr>
            <w:rStyle w:val="Hyperlink"/>
            <w:rFonts w:hint="eastAsia"/>
            <w:sz w:val="20"/>
            <w:szCs w:val="20"/>
          </w:rPr>
          <w:t>h</w:t>
        </w:r>
        <w:r w:rsidRPr="009B4895">
          <w:rPr>
            <w:rStyle w:val="Hyperlink"/>
            <w:sz w:val="20"/>
            <w:szCs w:val="20"/>
          </w:rPr>
          <w:t>ttps://www.bls.gov/opub/mlr/2018/article/multifactor-productivity-slowdown-in-us-manufacturing.htm</w:t>
        </w:r>
      </w:hyperlink>
      <w:r>
        <w:rPr>
          <w:sz w:val="20"/>
          <w:szCs w:val="20"/>
        </w:rPr>
        <w:t xml:space="preserve">. </w:t>
      </w:r>
    </w:p>
  </w:footnote>
  <w:footnote w:id="17">
    <w:p w14:paraId="27C0721C" w14:textId="2F405ED3" w:rsidR="0081497C" w:rsidRPr="007F29FD" w:rsidRDefault="0081497C" w:rsidP="007042C9">
      <w:pPr>
        <w:pStyle w:val="FootnoteText"/>
        <w:jc w:val="both"/>
      </w:pPr>
      <w:r w:rsidRPr="007042C9">
        <w:rPr>
          <w:rStyle w:val="FootnoteReference"/>
          <w:sz w:val="20"/>
          <w:szCs w:val="20"/>
        </w:rPr>
        <w:footnoteRef/>
      </w:r>
      <w:r w:rsidRPr="007042C9">
        <w:rPr>
          <w:rStyle w:val="FootnoteReference"/>
        </w:rPr>
        <w:t xml:space="preserve"> </w:t>
      </w:r>
      <w:r w:rsidRPr="007042C9">
        <w:rPr>
          <w:sz w:val="20"/>
          <w:szCs w:val="20"/>
        </w:rPr>
        <w:t xml:space="preserve">$1,000 </w:t>
      </w:r>
      <w:r w:rsidRPr="007042C9">
        <w:rPr>
          <w:rFonts w:hint="eastAsia"/>
          <w:sz w:val="20"/>
          <w:szCs w:val="20"/>
        </w:rPr>
        <w:t>is</w:t>
      </w:r>
      <w:r w:rsidRPr="007042C9">
        <w:rPr>
          <w:sz w:val="20"/>
          <w:szCs w:val="20"/>
        </w:rPr>
        <w:t xml:space="preserve"> the difference between the 25th and 75th percentile in CZ level import exposure </w:t>
      </w:r>
      <w:r>
        <w:rPr>
          <w:sz w:val="20"/>
          <w:szCs w:val="20"/>
        </w:rPr>
        <w:t xml:space="preserve">growth </w:t>
      </w:r>
      <w:r w:rsidRPr="007042C9">
        <w:rPr>
          <w:sz w:val="20"/>
          <w:szCs w:val="20"/>
        </w:rPr>
        <w:t>during the period of 2000 and 2007.</w:t>
      </w:r>
    </w:p>
  </w:footnote>
  <w:footnote w:id="18">
    <w:p w14:paraId="34976E46" w14:textId="6313F9B4" w:rsidR="0081497C" w:rsidRDefault="0081497C" w:rsidP="00A20361">
      <w:pPr>
        <w:widowControl w:val="0"/>
        <w:autoSpaceDE w:val="0"/>
        <w:autoSpaceDN w:val="0"/>
        <w:adjustRightInd w:val="0"/>
        <w:jc w:val="both"/>
      </w:pPr>
      <w:r>
        <w:rPr>
          <w:rStyle w:val="FootnoteReference"/>
        </w:rPr>
        <w:footnoteRef/>
      </w:r>
      <w:r>
        <w:t xml:space="preserve"> </w:t>
      </w:r>
      <w:r w:rsidRPr="007042C9">
        <w:rPr>
          <w:rFonts w:ascii="Times" w:hAnsi="Times" w:cs="Times"/>
          <w:color w:val="000000"/>
          <w:sz w:val="20"/>
          <w:szCs w:val="20"/>
        </w:rPr>
        <w:t xml:space="preserve">Current </w:t>
      </w:r>
      <w:r>
        <w:rPr>
          <w:rFonts w:ascii="Times" w:hAnsi="Times" w:cs="Times"/>
          <w:color w:val="000000"/>
          <w:sz w:val="20"/>
          <w:szCs w:val="20"/>
        </w:rPr>
        <w:t>n</w:t>
      </w:r>
      <w:r w:rsidRPr="007042C9">
        <w:rPr>
          <w:rFonts w:ascii="Times" w:hAnsi="Times" w:cs="Times"/>
          <w:color w:val="000000"/>
          <w:sz w:val="20"/>
          <w:szCs w:val="20"/>
        </w:rPr>
        <w:t>on</w:t>
      </w:r>
      <w:r>
        <w:rPr>
          <w:rFonts w:ascii="Times" w:hAnsi="Times" w:cs="Times"/>
          <w:color w:val="000000"/>
          <w:sz w:val="20"/>
          <w:szCs w:val="20"/>
        </w:rPr>
        <w:t>-</w:t>
      </w:r>
      <w:r w:rsidRPr="007042C9">
        <w:rPr>
          <w:rFonts w:ascii="Times" w:hAnsi="Times" w:cs="Times"/>
          <w:color w:val="000000"/>
          <w:sz w:val="20"/>
          <w:szCs w:val="20"/>
        </w:rPr>
        <w:t>elementary</w:t>
      </w:r>
      <w:r>
        <w:rPr>
          <w:rFonts w:ascii="Times" w:hAnsi="Times" w:cs="Times"/>
          <w:color w:val="000000"/>
          <w:sz w:val="20"/>
          <w:szCs w:val="20"/>
        </w:rPr>
        <w:t>/</w:t>
      </w:r>
      <w:r w:rsidRPr="007042C9">
        <w:rPr>
          <w:rFonts w:ascii="Times" w:hAnsi="Times" w:cs="Times"/>
          <w:color w:val="000000"/>
          <w:sz w:val="20"/>
          <w:szCs w:val="20"/>
        </w:rPr>
        <w:t xml:space="preserve">secondary </w:t>
      </w:r>
      <w:r>
        <w:rPr>
          <w:rFonts w:ascii="Times" w:hAnsi="Times" w:cs="Times"/>
          <w:color w:val="000000"/>
          <w:sz w:val="20"/>
          <w:szCs w:val="20"/>
        </w:rPr>
        <w:t xml:space="preserve">expenditures </w:t>
      </w:r>
      <w:r w:rsidRPr="007042C9">
        <w:rPr>
          <w:rFonts w:ascii="Times" w:hAnsi="Times" w:cs="Times"/>
          <w:color w:val="000000"/>
          <w:sz w:val="20"/>
          <w:szCs w:val="20"/>
        </w:rPr>
        <w:t>include expenditures on community service, adult education, transfer</w:t>
      </w:r>
      <w:r>
        <w:rPr>
          <w:rFonts w:ascii="Times" w:hAnsi="Times" w:cs="Times"/>
          <w:color w:val="000000"/>
          <w:sz w:val="20"/>
          <w:szCs w:val="20"/>
        </w:rPr>
        <w:t>s</w:t>
      </w:r>
      <w:r w:rsidRPr="007042C9">
        <w:rPr>
          <w:rFonts w:ascii="Times" w:hAnsi="Times" w:cs="Times"/>
          <w:color w:val="000000"/>
          <w:sz w:val="20"/>
          <w:szCs w:val="20"/>
        </w:rPr>
        <w:t xml:space="preserve"> to retirement system, and </w:t>
      </w:r>
      <w:r>
        <w:rPr>
          <w:rFonts w:ascii="Times" w:hAnsi="Times" w:cs="Times"/>
          <w:color w:val="000000"/>
          <w:sz w:val="20"/>
          <w:szCs w:val="20"/>
        </w:rPr>
        <w:t>things</w:t>
      </w:r>
      <w:r w:rsidRPr="00EA51E7">
        <w:rPr>
          <w:rFonts w:ascii="Times" w:hAnsi="Times" w:cs="Times"/>
          <w:color w:val="000000"/>
          <w:sz w:val="20"/>
          <w:szCs w:val="20"/>
        </w:rPr>
        <w:t xml:space="preserve"> like interest payment</w:t>
      </w:r>
      <w:r>
        <w:rPr>
          <w:rFonts w:ascii="Times" w:hAnsi="Times" w:cs="Times"/>
          <w:color w:val="000000"/>
          <w:sz w:val="20"/>
          <w:szCs w:val="20"/>
        </w:rPr>
        <w:t>s</w:t>
      </w:r>
      <w:r w:rsidRPr="00EA51E7">
        <w:rPr>
          <w:rFonts w:ascii="Times" w:hAnsi="Times" w:cs="Times"/>
          <w:color w:val="000000"/>
          <w:sz w:val="20"/>
          <w:szCs w:val="20"/>
        </w:rPr>
        <w:t>.</w:t>
      </w:r>
    </w:p>
  </w:footnote>
  <w:footnote w:id="19">
    <w:p w14:paraId="306E3DAF" w14:textId="48CD0E60" w:rsidR="0081497C" w:rsidRDefault="0081497C" w:rsidP="009B7ED7">
      <w:pPr>
        <w:pStyle w:val="FootnoteText"/>
        <w:jc w:val="both"/>
      </w:pPr>
      <w:r w:rsidRPr="003454A6">
        <w:rPr>
          <w:rStyle w:val="FootnoteReference"/>
          <w:sz w:val="20"/>
          <w:szCs w:val="20"/>
        </w:rPr>
        <w:footnoteRef/>
      </w:r>
      <w:r w:rsidRPr="003454A6">
        <w:rPr>
          <w:sz w:val="20"/>
          <w:szCs w:val="20"/>
        </w:rPr>
        <w:t xml:space="preserve"> </w:t>
      </w:r>
      <w:r w:rsidRPr="003454A6">
        <w:rPr>
          <w:rFonts w:hint="eastAsia"/>
          <w:sz w:val="20"/>
          <w:szCs w:val="20"/>
        </w:rPr>
        <w:t>1990 commuting zones can cross state boundar</w:t>
      </w:r>
      <w:r>
        <w:rPr>
          <w:sz w:val="20"/>
          <w:szCs w:val="20"/>
        </w:rPr>
        <w:t>ies</w:t>
      </w:r>
      <w:r w:rsidRPr="003454A6">
        <w:rPr>
          <w:rFonts w:hint="eastAsia"/>
          <w:sz w:val="20"/>
          <w:szCs w:val="20"/>
        </w:rPr>
        <w:t xml:space="preserve">. Here, I use the crosswalk file provided by David Dorn in which </w:t>
      </w:r>
      <w:r w:rsidRPr="003454A6">
        <w:rPr>
          <w:sz w:val="20"/>
          <w:szCs w:val="20"/>
        </w:rPr>
        <w:t>e</w:t>
      </w:r>
      <w:r w:rsidRPr="003454A6">
        <w:rPr>
          <w:rFonts w:hint="eastAsia"/>
          <w:sz w:val="20"/>
          <w:szCs w:val="20"/>
        </w:rPr>
        <w:t xml:space="preserve">ach commuting zone has been matched with the state which has the largest population share </w:t>
      </w:r>
      <w:r>
        <w:rPr>
          <w:sz w:val="20"/>
          <w:szCs w:val="20"/>
        </w:rPr>
        <w:t>of</w:t>
      </w:r>
      <w:r w:rsidRPr="003454A6">
        <w:rPr>
          <w:rFonts w:hint="eastAsia"/>
          <w:sz w:val="20"/>
          <w:szCs w:val="20"/>
        </w:rPr>
        <w:t xml:space="preserve"> that commuting zone.</w:t>
      </w:r>
    </w:p>
  </w:footnote>
  <w:footnote w:id="20">
    <w:p w14:paraId="31C01FCB" w14:textId="096F63B9" w:rsidR="0081497C" w:rsidRPr="00EC204D" w:rsidRDefault="0081497C" w:rsidP="00A20361">
      <w:pPr>
        <w:pStyle w:val="FootnoteText"/>
        <w:jc w:val="both"/>
        <w:rPr>
          <w:sz w:val="20"/>
          <w:szCs w:val="20"/>
        </w:rPr>
      </w:pPr>
      <w:r w:rsidRPr="00EC204D">
        <w:rPr>
          <w:rStyle w:val="FootnoteReference"/>
          <w:sz w:val="20"/>
          <w:szCs w:val="20"/>
        </w:rPr>
        <w:footnoteRef/>
      </w:r>
      <w:r w:rsidRPr="00EC204D">
        <w:rPr>
          <w:sz w:val="20"/>
          <w:szCs w:val="20"/>
        </w:rPr>
        <w:t xml:space="preserve"> Note that there is less variation across states in the change in Chinese import exposure than across commuting zones. The CZ level measure ranges from 0 to10, while the state level measure ranges from 0 to\-2. This is likely to be behind the larger estimated impact at the state level.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B86"/>
    <w:multiLevelType w:val="hybridMultilevel"/>
    <w:tmpl w:val="C17AE968"/>
    <w:lvl w:ilvl="0" w:tplc="D6AE87D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299D24C5"/>
    <w:multiLevelType w:val="hybridMultilevel"/>
    <w:tmpl w:val="E172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8378C"/>
    <w:multiLevelType w:val="hybridMultilevel"/>
    <w:tmpl w:val="9EBAACE2"/>
    <w:lvl w:ilvl="0" w:tplc="A10A8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052EA"/>
    <w:multiLevelType w:val="hybridMultilevel"/>
    <w:tmpl w:val="6F22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080C"/>
    <w:multiLevelType w:val="hybridMultilevel"/>
    <w:tmpl w:val="ADA421F0"/>
    <w:lvl w:ilvl="0" w:tplc="AF12B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61"/>
    <w:rsid w:val="000063ED"/>
    <w:rsid w:val="00011551"/>
    <w:rsid w:val="000277C2"/>
    <w:rsid w:val="0004747D"/>
    <w:rsid w:val="00050607"/>
    <w:rsid w:val="00054A14"/>
    <w:rsid w:val="00054C88"/>
    <w:rsid w:val="000676B2"/>
    <w:rsid w:val="00071FC1"/>
    <w:rsid w:val="00072618"/>
    <w:rsid w:val="00080E8F"/>
    <w:rsid w:val="00084F52"/>
    <w:rsid w:val="00085880"/>
    <w:rsid w:val="00086120"/>
    <w:rsid w:val="00091817"/>
    <w:rsid w:val="00097962"/>
    <w:rsid w:val="000A1CD0"/>
    <w:rsid w:val="000A6750"/>
    <w:rsid w:val="000B1A83"/>
    <w:rsid w:val="000C0D6C"/>
    <w:rsid w:val="000C63EC"/>
    <w:rsid w:val="000C6A01"/>
    <w:rsid w:val="000E6E27"/>
    <w:rsid w:val="000E7140"/>
    <w:rsid w:val="000E77F0"/>
    <w:rsid w:val="000E7A84"/>
    <w:rsid w:val="000F1534"/>
    <w:rsid w:val="000F7E9E"/>
    <w:rsid w:val="00107462"/>
    <w:rsid w:val="00115F5B"/>
    <w:rsid w:val="001269FD"/>
    <w:rsid w:val="00130662"/>
    <w:rsid w:val="00134536"/>
    <w:rsid w:val="00157748"/>
    <w:rsid w:val="0016430B"/>
    <w:rsid w:val="00172C15"/>
    <w:rsid w:val="00174E3F"/>
    <w:rsid w:val="00177D3D"/>
    <w:rsid w:val="00180D91"/>
    <w:rsid w:val="00185E79"/>
    <w:rsid w:val="00185F26"/>
    <w:rsid w:val="00186BC0"/>
    <w:rsid w:val="001904F1"/>
    <w:rsid w:val="001909AA"/>
    <w:rsid w:val="00196EE0"/>
    <w:rsid w:val="001A5CA5"/>
    <w:rsid w:val="001B7E3E"/>
    <w:rsid w:val="001C0060"/>
    <w:rsid w:val="001C1550"/>
    <w:rsid w:val="001C390B"/>
    <w:rsid w:val="001C77CA"/>
    <w:rsid w:val="001D25C3"/>
    <w:rsid w:val="001D5966"/>
    <w:rsid w:val="001D774A"/>
    <w:rsid w:val="001E10C2"/>
    <w:rsid w:val="001E218A"/>
    <w:rsid w:val="001F54C1"/>
    <w:rsid w:val="001F69C1"/>
    <w:rsid w:val="00201075"/>
    <w:rsid w:val="00202AE3"/>
    <w:rsid w:val="00204B19"/>
    <w:rsid w:val="002166BA"/>
    <w:rsid w:val="00220BDD"/>
    <w:rsid w:val="00225678"/>
    <w:rsid w:val="00225793"/>
    <w:rsid w:val="00234BD4"/>
    <w:rsid w:val="00236A3A"/>
    <w:rsid w:val="0025072A"/>
    <w:rsid w:val="00275E48"/>
    <w:rsid w:val="002B48D7"/>
    <w:rsid w:val="002B62E7"/>
    <w:rsid w:val="002D0CB7"/>
    <w:rsid w:val="002D2F34"/>
    <w:rsid w:val="002D4BEF"/>
    <w:rsid w:val="002E05E9"/>
    <w:rsid w:val="002E06A8"/>
    <w:rsid w:val="002E27DC"/>
    <w:rsid w:val="002F2939"/>
    <w:rsid w:val="003007F7"/>
    <w:rsid w:val="003304C6"/>
    <w:rsid w:val="00353982"/>
    <w:rsid w:val="00354932"/>
    <w:rsid w:val="00357923"/>
    <w:rsid w:val="00375917"/>
    <w:rsid w:val="003803F4"/>
    <w:rsid w:val="00392389"/>
    <w:rsid w:val="003923F2"/>
    <w:rsid w:val="00394F82"/>
    <w:rsid w:val="003A0365"/>
    <w:rsid w:val="003B7D41"/>
    <w:rsid w:val="003C20B2"/>
    <w:rsid w:val="003C764B"/>
    <w:rsid w:val="003D5420"/>
    <w:rsid w:val="003E6BE6"/>
    <w:rsid w:val="003F146B"/>
    <w:rsid w:val="003F62F5"/>
    <w:rsid w:val="00401329"/>
    <w:rsid w:val="00413C21"/>
    <w:rsid w:val="0042126F"/>
    <w:rsid w:val="0043497B"/>
    <w:rsid w:val="00443CC1"/>
    <w:rsid w:val="004449D6"/>
    <w:rsid w:val="00446D4E"/>
    <w:rsid w:val="00450263"/>
    <w:rsid w:val="00451E9E"/>
    <w:rsid w:val="00456FA6"/>
    <w:rsid w:val="00462040"/>
    <w:rsid w:val="004654E1"/>
    <w:rsid w:val="00465C0F"/>
    <w:rsid w:val="0046791E"/>
    <w:rsid w:val="00475BB3"/>
    <w:rsid w:val="0048210B"/>
    <w:rsid w:val="004954E1"/>
    <w:rsid w:val="00495838"/>
    <w:rsid w:val="004A3302"/>
    <w:rsid w:val="004A3EEE"/>
    <w:rsid w:val="004A4396"/>
    <w:rsid w:val="004A54AE"/>
    <w:rsid w:val="004A5A62"/>
    <w:rsid w:val="004B2905"/>
    <w:rsid w:val="004B3902"/>
    <w:rsid w:val="004D4C71"/>
    <w:rsid w:val="004D603C"/>
    <w:rsid w:val="004D6E9F"/>
    <w:rsid w:val="004D722E"/>
    <w:rsid w:val="004D7871"/>
    <w:rsid w:val="004E50DD"/>
    <w:rsid w:val="004F16AD"/>
    <w:rsid w:val="005009FA"/>
    <w:rsid w:val="00513F63"/>
    <w:rsid w:val="0053657A"/>
    <w:rsid w:val="00542BA9"/>
    <w:rsid w:val="0054393D"/>
    <w:rsid w:val="005460CC"/>
    <w:rsid w:val="005467AE"/>
    <w:rsid w:val="0055712C"/>
    <w:rsid w:val="00583D50"/>
    <w:rsid w:val="00586E8F"/>
    <w:rsid w:val="00592D21"/>
    <w:rsid w:val="00597558"/>
    <w:rsid w:val="005A0DEF"/>
    <w:rsid w:val="005B2C63"/>
    <w:rsid w:val="005D4521"/>
    <w:rsid w:val="005D5ABC"/>
    <w:rsid w:val="005D6EC7"/>
    <w:rsid w:val="005F28F8"/>
    <w:rsid w:val="005F61A8"/>
    <w:rsid w:val="00600A6F"/>
    <w:rsid w:val="00601D4E"/>
    <w:rsid w:val="00602E67"/>
    <w:rsid w:val="00611491"/>
    <w:rsid w:val="00613CB4"/>
    <w:rsid w:val="00622A79"/>
    <w:rsid w:val="006246DE"/>
    <w:rsid w:val="0063524A"/>
    <w:rsid w:val="00647EAD"/>
    <w:rsid w:val="00650762"/>
    <w:rsid w:val="00654051"/>
    <w:rsid w:val="00665F51"/>
    <w:rsid w:val="0067315E"/>
    <w:rsid w:val="0069108D"/>
    <w:rsid w:val="0069734C"/>
    <w:rsid w:val="006B1EDF"/>
    <w:rsid w:val="006B3700"/>
    <w:rsid w:val="006B5030"/>
    <w:rsid w:val="006C030C"/>
    <w:rsid w:val="006C09FF"/>
    <w:rsid w:val="006E2500"/>
    <w:rsid w:val="006E3625"/>
    <w:rsid w:val="006F0DD4"/>
    <w:rsid w:val="00700893"/>
    <w:rsid w:val="00702B9C"/>
    <w:rsid w:val="007042C9"/>
    <w:rsid w:val="00707558"/>
    <w:rsid w:val="00725FC5"/>
    <w:rsid w:val="007542A2"/>
    <w:rsid w:val="00780218"/>
    <w:rsid w:val="007919B5"/>
    <w:rsid w:val="00791BA1"/>
    <w:rsid w:val="00797780"/>
    <w:rsid w:val="007B3C70"/>
    <w:rsid w:val="007B7478"/>
    <w:rsid w:val="007B79EE"/>
    <w:rsid w:val="007B7C48"/>
    <w:rsid w:val="007C1D4B"/>
    <w:rsid w:val="007C6B1D"/>
    <w:rsid w:val="007D4288"/>
    <w:rsid w:val="007E5D3E"/>
    <w:rsid w:val="007E7A3F"/>
    <w:rsid w:val="007F29FD"/>
    <w:rsid w:val="00801F40"/>
    <w:rsid w:val="00802103"/>
    <w:rsid w:val="00805C0A"/>
    <w:rsid w:val="0081497C"/>
    <w:rsid w:val="00824D77"/>
    <w:rsid w:val="00826C38"/>
    <w:rsid w:val="00841E1D"/>
    <w:rsid w:val="008569EE"/>
    <w:rsid w:val="00856E26"/>
    <w:rsid w:val="0086004C"/>
    <w:rsid w:val="00861571"/>
    <w:rsid w:val="00862C6C"/>
    <w:rsid w:val="00862D0E"/>
    <w:rsid w:val="00864119"/>
    <w:rsid w:val="00864ACC"/>
    <w:rsid w:val="008661D0"/>
    <w:rsid w:val="00877F95"/>
    <w:rsid w:val="00880D49"/>
    <w:rsid w:val="0089461B"/>
    <w:rsid w:val="00894C31"/>
    <w:rsid w:val="00896801"/>
    <w:rsid w:val="008B4421"/>
    <w:rsid w:val="008B47C8"/>
    <w:rsid w:val="008B7D7F"/>
    <w:rsid w:val="008C112D"/>
    <w:rsid w:val="008C1CF1"/>
    <w:rsid w:val="008D2B5A"/>
    <w:rsid w:val="008D789C"/>
    <w:rsid w:val="008F1719"/>
    <w:rsid w:val="008F1A28"/>
    <w:rsid w:val="00903409"/>
    <w:rsid w:val="00903470"/>
    <w:rsid w:val="00906736"/>
    <w:rsid w:val="00922F8E"/>
    <w:rsid w:val="009232C0"/>
    <w:rsid w:val="00923BA6"/>
    <w:rsid w:val="009252E1"/>
    <w:rsid w:val="009527F8"/>
    <w:rsid w:val="009635C5"/>
    <w:rsid w:val="00964162"/>
    <w:rsid w:val="0096731F"/>
    <w:rsid w:val="00970566"/>
    <w:rsid w:val="0098563E"/>
    <w:rsid w:val="009869C6"/>
    <w:rsid w:val="009A1C0C"/>
    <w:rsid w:val="009B7ED7"/>
    <w:rsid w:val="009C4747"/>
    <w:rsid w:val="009E101E"/>
    <w:rsid w:val="009F1D85"/>
    <w:rsid w:val="009F2EF7"/>
    <w:rsid w:val="009F497A"/>
    <w:rsid w:val="009F6B51"/>
    <w:rsid w:val="00A017A3"/>
    <w:rsid w:val="00A10809"/>
    <w:rsid w:val="00A11EA5"/>
    <w:rsid w:val="00A127C9"/>
    <w:rsid w:val="00A15792"/>
    <w:rsid w:val="00A16724"/>
    <w:rsid w:val="00A20361"/>
    <w:rsid w:val="00A24D1D"/>
    <w:rsid w:val="00A26CA5"/>
    <w:rsid w:val="00A3324A"/>
    <w:rsid w:val="00A341CF"/>
    <w:rsid w:val="00A41E61"/>
    <w:rsid w:val="00A41E9B"/>
    <w:rsid w:val="00A5050E"/>
    <w:rsid w:val="00A812CE"/>
    <w:rsid w:val="00A854BF"/>
    <w:rsid w:val="00A8698C"/>
    <w:rsid w:val="00A9216C"/>
    <w:rsid w:val="00A977F7"/>
    <w:rsid w:val="00AB3FF6"/>
    <w:rsid w:val="00AB48B6"/>
    <w:rsid w:val="00AB5C7C"/>
    <w:rsid w:val="00AD269F"/>
    <w:rsid w:val="00AE5552"/>
    <w:rsid w:val="00AF0E63"/>
    <w:rsid w:val="00AF30BD"/>
    <w:rsid w:val="00B11EB2"/>
    <w:rsid w:val="00B248E3"/>
    <w:rsid w:val="00B31296"/>
    <w:rsid w:val="00B36A2A"/>
    <w:rsid w:val="00B44B52"/>
    <w:rsid w:val="00B647F6"/>
    <w:rsid w:val="00B74EAE"/>
    <w:rsid w:val="00B75E69"/>
    <w:rsid w:val="00B76CD4"/>
    <w:rsid w:val="00B84F8E"/>
    <w:rsid w:val="00B97F5F"/>
    <w:rsid w:val="00BA088C"/>
    <w:rsid w:val="00BA158E"/>
    <w:rsid w:val="00BA30AF"/>
    <w:rsid w:val="00BB5A53"/>
    <w:rsid w:val="00BC4E9B"/>
    <w:rsid w:val="00BD5026"/>
    <w:rsid w:val="00BE14F8"/>
    <w:rsid w:val="00BE5891"/>
    <w:rsid w:val="00C060EE"/>
    <w:rsid w:val="00C14FBE"/>
    <w:rsid w:val="00C17922"/>
    <w:rsid w:val="00C241BA"/>
    <w:rsid w:val="00C24A87"/>
    <w:rsid w:val="00C26207"/>
    <w:rsid w:val="00C3208B"/>
    <w:rsid w:val="00C35A5E"/>
    <w:rsid w:val="00C41ADE"/>
    <w:rsid w:val="00C50777"/>
    <w:rsid w:val="00C65925"/>
    <w:rsid w:val="00C70C6F"/>
    <w:rsid w:val="00C75EAF"/>
    <w:rsid w:val="00C92DFF"/>
    <w:rsid w:val="00C962CE"/>
    <w:rsid w:val="00CA767C"/>
    <w:rsid w:val="00CB1772"/>
    <w:rsid w:val="00CB2260"/>
    <w:rsid w:val="00CB4145"/>
    <w:rsid w:val="00CB5416"/>
    <w:rsid w:val="00CC19AA"/>
    <w:rsid w:val="00D030D7"/>
    <w:rsid w:val="00D30D57"/>
    <w:rsid w:val="00D40650"/>
    <w:rsid w:val="00D41330"/>
    <w:rsid w:val="00D433C6"/>
    <w:rsid w:val="00D5398E"/>
    <w:rsid w:val="00D55BE3"/>
    <w:rsid w:val="00D62244"/>
    <w:rsid w:val="00D635EF"/>
    <w:rsid w:val="00D759D3"/>
    <w:rsid w:val="00D80428"/>
    <w:rsid w:val="00D82411"/>
    <w:rsid w:val="00D84C28"/>
    <w:rsid w:val="00D86CD2"/>
    <w:rsid w:val="00D92C08"/>
    <w:rsid w:val="00D92F78"/>
    <w:rsid w:val="00D9480E"/>
    <w:rsid w:val="00D9647E"/>
    <w:rsid w:val="00D96588"/>
    <w:rsid w:val="00DA56D6"/>
    <w:rsid w:val="00DA615A"/>
    <w:rsid w:val="00DB04F3"/>
    <w:rsid w:val="00DB1D0B"/>
    <w:rsid w:val="00DB7C09"/>
    <w:rsid w:val="00DD603F"/>
    <w:rsid w:val="00DE30B7"/>
    <w:rsid w:val="00DE6C9E"/>
    <w:rsid w:val="00DF0753"/>
    <w:rsid w:val="00DF3AC7"/>
    <w:rsid w:val="00E1058F"/>
    <w:rsid w:val="00E15E51"/>
    <w:rsid w:val="00E276EB"/>
    <w:rsid w:val="00E33366"/>
    <w:rsid w:val="00E36DCE"/>
    <w:rsid w:val="00E47332"/>
    <w:rsid w:val="00E53B28"/>
    <w:rsid w:val="00E7795D"/>
    <w:rsid w:val="00E868BB"/>
    <w:rsid w:val="00E917BC"/>
    <w:rsid w:val="00E91CF4"/>
    <w:rsid w:val="00E94737"/>
    <w:rsid w:val="00E94D20"/>
    <w:rsid w:val="00EA3F33"/>
    <w:rsid w:val="00EC1D4B"/>
    <w:rsid w:val="00EC204D"/>
    <w:rsid w:val="00EC71E9"/>
    <w:rsid w:val="00ED5DDC"/>
    <w:rsid w:val="00ED7ADC"/>
    <w:rsid w:val="00EE2ABC"/>
    <w:rsid w:val="00EF779E"/>
    <w:rsid w:val="00F0429A"/>
    <w:rsid w:val="00F16D58"/>
    <w:rsid w:val="00F261C0"/>
    <w:rsid w:val="00F261CF"/>
    <w:rsid w:val="00F277C2"/>
    <w:rsid w:val="00F31D6F"/>
    <w:rsid w:val="00F40ED2"/>
    <w:rsid w:val="00F602CF"/>
    <w:rsid w:val="00F712AD"/>
    <w:rsid w:val="00F74195"/>
    <w:rsid w:val="00F7716C"/>
    <w:rsid w:val="00F83E32"/>
    <w:rsid w:val="00FB0D8A"/>
    <w:rsid w:val="00FB62B2"/>
    <w:rsid w:val="00FC4F2C"/>
    <w:rsid w:val="00FC5A0D"/>
    <w:rsid w:val="00FD0B30"/>
    <w:rsid w:val="00FE18AA"/>
    <w:rsid w:val="00FE29FB"/>
    <w:rsid w:val="00FF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7007"/>
  <w15:chartTrackingRefBased/>
  <w15:docId w15:val="{2CF09703-D5EB-3A4C-BB02-5AB9B51A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AA"/>
    <w:rPr>
      <w:rFonts w:ascii="Times New Roman" w:eastAsia="Times New Roman" w:hAnsi="Times New Roman" w:cs="Times New Roman"/>
    </w:rPr>
  </w:style>
  <w:style w:type="paragraph" w:styleId="Heading1">
    <w:name w:val="heading 1"/>
    <w:basedOn w:val="Normal"/>
    <w:link w:val="Heading1Char"/>
    <w:uiPriority w:val="9"/>
    <w:qFormat/>
    <w:rsid w:val="00A2036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A203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3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2036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A20361"/>
  </w:style>
  <w:style w:type="character" w:customStyle="1" w:styleId="FootnoteTextChar">
    <w:name w:val="Footnote Text Char"/>
    <w:basedOn w:val="DefaultParagraphFont"/>
    <w:link w:val="FootnoteText"/>
    <w:uiPriority w:val="99"/>
    <w:rsid w:val="00A20361"/>
    <w:rPr>
      <w:rFonts w:ascii="Times New Roman" w:eastAsia="Times New Roman" w:hAnsi="Times New Roman" w:cs="Times New Roman"/>
    </w:rPr>
  </w:style>
  <w:style w:type="character" w:styleId="FootnoteReference">
    <w:name w:val="footnote reference"/>
    <w:basedOn w:val="DefaultParagraphFont"/>
    <w:uiPriority w:val="99"/>
    <w:unhideWhenUsed/>
    <w:rsid w:val="00A20361"/>
    <w:rPr>
      <w:vertAlign w:val="superscript"/>
    </w:rPr>
  </w:style>
  <w:style w:type="character" w:customStyle="1" w:styleId="apple-converted-space">
    <w:name w:val="apple-converted-space"/>
    <w:basedOn w:val="DefaultParagraphFont"/>
    <w:rsid w:val="00A20361"/>
  </w:style>
  <w:style w:type="paragraph" w:styleId="NormalWeb">
    <w:name w:val="Normal (Web)"/>
    <w:basedOn w:val="Normal"/>
    <w:uiPriority w:val="99"/>
    <w:unhideWhenUsed/>
    <w:rsid w:val="00A20361"/>
    <w:pPr>
      <w:spacing w:before="100" w:beforeAutospacing="1" w:after="100" w:afterAutospacing="1"/>
    </w:pPr>
  </w:style>
  <w:style w:type="paragraph" w:styleId="ListParagraph">
    <w:name w:val="List Paragraph"/>
    <w:basedOn w:val="Normal"/>
    <w:uiPriority w:val="34"/>
    <w:qFormat/>
    <w:rsid w:val="00A20361"/>
    <w:pPr>
      <w:ind w:left="720"/>
      <w:contextualSpacing/>
    </w:pPr>
  </w:style>
  <w:style w:type="character" w:styleId="PlaceholderText">
    <w:name w:val="Placeholder Text"/>
    <w:basedOn w:val="DefaultParagraphFont"/>
    <w:uiPriority w:val="99"/>
    <w:semiHidden/>
    <w:rsid w:val="00A20361"/>
    <w:rPr>
      <w:color w:val="808080"/>
    </w:rPr>
  </w:style>
  <w:style w:type="paragraph" w:styleId="PlainText">
    <w:name w:val="Plain Text"/>
    <w:basedOn w:val="Normal"/>
    <w:link w:val="PlainTextChar"/>
    <w:uiPriority w:val="99"/>
    <w:unhideWhenUsed/>
    <w:rsid w:val="00A20361"/>
    <w:rPr>
      <w:rFonts w:ascii="Courier" w:hAnsi="Courier" w:cstheme="minorBidi"/>
      <w:sz w:val="21"/>
      <w:szCs w:val="21"/>
    </w:rPr>
  </w:style>
  <w:style w:type="character" w:customStyle="1" w:styleId="PlainTextChar">
    <w:name w:val="Plain Text Char"/>
    <w:basedOn w:val="DefaultParagraphFont"/>
    <w:link w:val="PlainText"/>
    <w:uiPriority w:val="99"/>
    <w:rsid w:val="00A20361"/>
    <w:rPr>
      <w:rFonts w:ascii="Courier" w:eastAsia="Times New Roman" w:hAnsi="Courier"/>
      <w:sz w:val="21"/>
      <w:szCs w:val="21"/>
    </w:rPr>
  </w:style>
  <w:style w:type="character" w:styleId="Hyperlink">
    <w:name w:val="Hyperlink"/>
    <w:basedOn w:val="DefaultParagraphFont"/>
    <w:uiPriority w:val="99"/>
    <w:unhideWhenUsed/>
    <w:rsid w:val="00A20361"/>
    <w:rPr>
      <w:color w:val="0563C1" w:themeColor="hyperlink"/>
      <w:u w:val="single"/>
    </w:rPr>
  </w:style>
  <w:style w:type="character" w:styleId="FollowedHyperlink">
    <w:name w:val="FollowedHyperlink"/>
    <w:basedOn w:val="DefaultParagraphFont"/>
    <w:uiPriority w:val="99"/>
    <w:semiHidden/>
    <w:unhideWhenUsed/>
    <w:rsid w:val="00A20361"/>
    <w:rPr>
      <w:color w:val="954F72" w:themeColor="followedHyperlink"/>
      <w:u w:val="single"/>
    </w:rPr>
  </w:style>
  <w:style w:type="character" w:styleId="Emphasis">
    <w:name w:val="Emphasis"/>
    <w:basedOn w:val="DefaultParagraphFont"/>
    <w:uiPriority w:val="20"/>
    <w:qFormat/>
    <w:rsid w:val="00A20361"/>
    <w:rPr>
      <w:i/>
      <w:iCs/>
    </w:rPr>
  </w:style>
  <w:style w:type="paragraph" w:styleId="Header">
    <w:name w:val="header"/>
    <w:basedOn w:val="Normal"/>
    <w:link w:val="HeaderChar"/>
    <w:uiPriority w:val="99"/>
    <w:unhideWhenUsed/>
    <w:rsid w:val="00A20361"/>
    <w:pPr>
      <w:tabs>
        <w:tab w:val="center" w:pos="4680"/>
        <w:tab w:val="right" w:pos="9360"/>
      </w:tabs>
    </w:pPr>
  </w:style>
  <w:style w:type="character" w:customStyle="1" w:styleId="HeaderChar">
    <w:name w:val="Header Char"/>
    <w:basedOn w:val="DefaultParagraphFont"/>
    <w:link w:val="Header"/>
    <w:uiPriority w:val="99"/>
    <w:rsid w:val="00A20361"/>
    <w:rPr>
      <w:rFonts w:ascii="Times New Roman" w:eastAsia="Times New Roman" w:hAnsi="Times New Roman" w:cs="Times New Roman"/>
    </w:rPr>
  </w:style>
  <w:style w:type="paragraph" w:styleId="Footer">
    <w:name w:val="footer"/>
    <w:basedOn w:val="Normal"/>
    <w:link w:val="FooterChar"/>
    <w:uiPriority w:val="99"/>
    <w:unhideWhenUsed/>
    <w:rsid w:val="00A20361"/>
    <w:pPr>
      <w:tabs>
        <w:tab w:val="center" w:pos="4680"/>
        <w:tab w:val="right" w:pos="9360"/>
      </w:tabs>
    </w:pPr>
  </w:style>
  <w:style w:type="character" w:customStyle="1" w:styleId="FooterChar">
    <w:name w:val="Footer Char"/>
    <w:basedOn w:val="DefaultParagraphFont"/>
    <w:link w:val="Footer"/>
    <w:uiPriority w:val="99"/>
    <w:rsid w:val="00A20361"/>
    <w:rPr>
      <w:rFonts w:ascii="Times New Roman" w:eastAsia="Times New Roman" w:hAnsi="Times New Roman" w:cs="Times New Roman"/>
    </w:rPr>
  </w:style>
  <w:style w:type="paragraph" w:styleId="EndnoteText">
    <w:name w:val="endnote text"/>
    <w:basedOn w:val="Normal"/>
    <w:link w:val="EndnoteTextChar"/>
    <w:uiPriority w:val="99"/>
    <w:unhideWhenUsed/>
    <w:rsid w:val="00A20361"/>
  </w:style>
  <w:style w:type="character" w:customStyle="1" w:styleId="EndnoteTextChar">
    <w:name w:val="Endnote Text Char"/>
    <w:basedOn w:val="DefaultParagraphFont"/>
    <w:link w:val="EndnoteText"/>
    <w:uiPriority w:val="99"/>
    <w:rsid w:val="00A20361"/>
    <w:rPr>
      <w:rFonts w:ascii="Times New Roman" w:eastAsia="Times New Roman" w:hAnsi="Times New Roman" w:cs="Times New Roman"/>
    </w:rPr>
  </w:style>
  <w:style w:type="character" w:styleId="EndnoteReference">
    <w:name w:val="endnote reference"/>
    <w:basedOn w:val="DefaultParagraphFont"/>
    <w:uiPriority w:val="99"/>
    <w:unhideWhenUsed/>
    <w:rsid w:val="00A20361"/>
    <w:rPr>
      <w:vertAlign w:val="superscript"/>
    </w:rPr>
  </w:style>
  <w:style w:type="paragraph" w:styleId="BalloonText">
    <w:name w:val="Balloon Text"/>
    <w:basedOn w:val="Normal"/>
    <w:link w:val="BalloonTextChar"/>
    <w:uiPriority w:val="99"/>
    <w:semiHidden/>
    <w:unhideWhenUsed/>
    <w:rsid w:val="00A20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36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0361"/>
    <w:rPr>
      <w:sz w:val="16"/>
      <w:szCs w:val="16"/>
    </w:rPr>
  </w:style>
  <w:style w:type="paragraph" w:styleId="CommentText">
    <w:name w:val="annotation text"/>
    <w:basedOn w:val="Normal"/>
    <w:link w:val="CommentTextChar"/>
    <w:uiPriority w:val="99"/>
    <w:unhideWhenUsed/>
    <w:rsid w:val="00A20361"/>
    <w:rPr>
      <w:sz w:val="20"/>
      <w:szCs w:val="20"/>
    </w:rPr>
  </w:style>
  <w:style w:type="character" w:customStyle="1" w:styleId="CommentTextChar">
    <w:name w:val="Comment Text Char"/>
    <w:basedOn w:val="DefaultParagraphFont"/>
    <w:link w:val="CommentText"/>
    <w:uiPriority w:val="99"/>
    <w:rsid w:val="00A203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61"/>
    <w:rPr>
      <w:b/>
      <w:bCs/>
    </w:rPr>
  </w:style>
  <w:style w:type="character" w:customStyle="1" w:styleId="CommentSubjectChar">
    <w:name w:val="Comment Subject Char"/>
    <w:basedOn w:val="CommentTextChar"/>
    <w:link w:val="CommentSubject"/>
    <w:uiPriority w:val="99"/>
    <w:semiHidden/>
    <w:rsid w:val="00A20361"/>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A20361"/>
  </w:style>
  <w:style w:type="character" w:customStyle="1" w:styleId="DocumentMapChar">
    <w:name w:val="Document Map Char"/>
    <w:basedOn w:val="DefaultParagraphFont"/>
    <w:link w:val="DocumentMap"/>
    <w:uiPriority w:val="99"/>
    <w:semiHidden/>
    <w:rsid w:val="00A20361"/>
    <w:rPr>
      <w:rFonts w:ascii="Times New Roman" w:eastAsia="Times New Roman" w:hAnsi="Times New Roman" w:cs="Times New Roman"/>
    </w:rPr>
  </w:style>
  <w:style w:type="character" w:customStyle="1" w:styleId="UnresolvedMention1">
    <w:name w:val="Unresolved Mention1"/>
    <w:basedOn w:val="DefaultParagraphFont"/>
    <w:uiPriority w:val="99"/>
    <w:rsid w:val="00A20361"/>
    <w:rPr>
      <w:color w:val="605E5C"/>
      <w:shd w:val="clear" w:color="auto" w:fill="E1DFDD"/>
    </w:rPr>
  </w:style>
  <w:style w:type="paragraph" w:styleId="Revision">
    <w:name w:val="Revision"/>
    <w:hidden/>
    <w:uiPriority w:val="99"/>
    <w:semiHidden/>
    <w:rsid w:val="00A203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5621">
      <w:bodyDiv w:val="1"/>
      <w:marLeft w:val="0"/>
      <w:marRight w:val="0"/>
      <w:marTop w:val="0"/>
      <w:marBottom w:val="0"/>
      <w:divBdr>
        <w:top w:val="none" w:sz="0" w:space="0" w:color="auto"/>
        <w:left w:val="none" w:sz="0" w:space="0" w:color="auto"/>
        <w:bottom w:val="none" w:sz="0" w:space="0" w:color="auto"/>
        <w:right w:val="none" w:sz="0" w:space="0" w:color="auto"/>
      </w:divBdr>
      <w:divsChild>
        <w:div w:id="1585413663">
          <w:marLeft w:val="0"/>
          <w:marRight w:val="0"/>
          <w:marTop w:val="0"/>
          <w:marBottom w:val="0"/>
          <w:divBdr>
            <w:top w:val="none" w:sz="0" w:space="0" w:color="auto"/>
            <w:left w:val="none" w:sz="0" w:space="0" w:color="auto"/>
            <w:bottom w:val="none" w:sz="0" w:space="0" w:color="auto"/>
            <w:right w:val="none" w:sz="0" w:space="0" w:color="auto"/>
          </w:divBdr>
          <w:divsChild>
            <w:div w:id="1840609264">
              <w:marLeft w:val="0"/>
              <w:marRight w:val="0"/>
              <w:marTop w:val="0"/>
              <w:marBottom w:val="0"/>
              <w:divBdr>
                <w:top w:val="none" w:sz="0" w:space="0" w:color="auto"/>
                <w:left w:val="none" w:sz="0" w:space="0" w:color="auto"/>
                <w:bottom w:val="none" w:sz="0" w:space="0" w:color="auto"/>
                <w:right w:val="none" w:sz="0" w:space="0" w:color="auto"/>
              </w:divBdr>
              <w:divsChild>
                <w:div w:id="3475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8758">
      <w:bodyDiv w:val="1"/>
      <w:marLeft w:val="0"/>
      <w:marRight w:val="0"/>
      <w:marTop w:val="0"/>
      <w:marBottom w:val="0"/>
      <w:divBdr>
        <w:top w:val="none" w:sz="0" w:space="0" w:color="auto"/>
        <w:left w:val="none" w:sz="0" w:space="0" w:color="auto"/>
        <w:bottom w:val="none" w:sz="0" w:space="0" w:color="auto"/>
        <w:right w:val="none" w:sz="0" w:space="0" w:color="auto"/>
      </w:divBdr>
      <w:divsChild>
        <w:div w:id="1289975144">
          <w:marLeft w:val="0"/>
          <w:marRight w:val="0"/>
          <w:marTop w:val="0"/>
          <w:marBottom w:val="0"/>
          <w:divBdr>
            <w:top w:val="none" w:sz="0" w:space="0" w:color="auto"/>
            <w:left w:val="none" w:sz="0" w:space="0" w:color="auto"/>
            <w:bottom w:val="none" w:sz="0" w:space="0" w:color="auto"/>
            <w:right w:val="none" w:sz="0" w:space="0" w:color="auto"/>
          </w:divBdr>
          <w:divsChild>
            <w:div w:id="726296282">
              <w:marLeft w:val="0"/>
              <w:marRight w:val="0"/>
              <w:marTop w:val="0"/>
              <w:marBottom w:val="0"/>
              <w:divBdr>
                <w:top w:val="none" w:sz="0" w:space="0" w:color="auto"/>
                <w:left w:val="none" w:sz="0" w:space="0" w:color="auto"/>
                <w:bottom w:val="none" w:sz="0" w:space="0" w:color="auto"/>
                <w:right w:val="none" w:sz="0" w:space="0" w:color="auto"/>
              </w:divBdr>
              <w:divsChild>
                <w:div w:id="10219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1831">
      <w:bodyDiv w:val="1"/>
      <w:marLeft w:val="0"/>
      <w:marRight w:val="0"/>
      <w:marTop w:val="0"/>
      <w:marBottom w:val="0"/>
      <w:divBdr>
        <w:top w:val="none" w:sz="0" w:space="0" w:color="auto"/>
        <w:left w:val="none" w:sz="0" w:space="0" w:color="auto"/>
        <w:bottom w:val="none" w:sz="0" w:space="0" w:color="auto"/>
        <w:right w:val="none" w:sz="0" w:space="0" w:color="auto"/>
      </w:divBdr>
    </w:div>
    <w:div w:id="1226523737">
      <w:bodyDiv w:val="1"/>
      <w:marLeft w:val="0"/>
      <w:marRight w:val="0"/>
      <w:marTop w:val="0"/>
      <w:marBottom w:val="0"/>
      <w:divBdr>
        <w:top w:val="none" w:sz="0" w:space="0" w:color="auto"/>
        <w:left w:val="none" w:sz="0" w:space="0" w:color="auto"/>
        <w:bottom w:val="none" w:sz="0" w:space="0" w:color="auto"/>
        <w:right w:val="none" w:sz="0" w:space="0" w:color="auto"/>
      </w:divBdr>
    </w:div>
    <w:div w:id="1697730751">
      <w:bodyDiv w:val="1"/>
      <w:marLeft w:val="0"/>
      <w:marRight w:val="0"/>
      <w:marTop w:val="0"/>
      <w:marBottom w:val="0"/>
      <w:divBdr>
        <w:top w:val="none" w:sz="0" w:space="0" w:color="auto"/>
        <w:left w:val="none" w:sz="0" w:space="0" w:color="auto"/>
        <w:bottom w:val="none" w:sz="0" w:space="0" w:color="auto"/>
        <w:right w:val="none" w:sz="0" w:space="0" w:color="auto"/>
      </w:divBdr>
    </w:div>
    <w:div w:id="1903518195">
      <w:bodyDiv w:val="1"/>
      <w:marLeft w:val="0"/>
      <w:marRight w:val="0"/>
      <w:marTop w:val="0"/>
      <w:marBottom w:val="0"/>
      <w:divBdr>
        <w:top w:val="none" w:sz="0" w:space="0" w:color="auto"/>
        <w:left w:val="none" w:sz="0" w:space="0" w:color="auto"/>
        <w:bottom w:val="none" w:sz="0" w:space="0" w:color="auto"/>
        <w:right w:val="none" w:sz="0" w:space="0" w:color="auto"/>
      </w:divBdr>
      <w:divsChild>
        <w:div w:id="881751541">
          <w:marLeft w:val="0"/>
          <w:marRight w:val="0"/>
          <w:marTop w:val="0"/>
          <w:marBottom w:val="0"/>
          <w:divBdr>
            <w:top w:val="none" w:sz="0" w:space="0" w:color="auto"/>
            <w:left w:val="none" w:sz="0" w:space="0" w:color="auto"/>
            <w:bottom w:val="none" w:sz="0" w:space="0" w:color="auto"/>
            <w:right w:val="none" w:sz="0" w:space="0" w:color="auto"/>
          </w:divBdr>
          <w:divsChild>
            <w:div w:id="1612738639">
              <w:marLeft w:val="0"/>
              <w:marRight w:val="0"/>
              <w:marTop w:val="0"/>
              <w:marBottom w:val="0"/>
              <w:divBdr>
                <w:top w:val="none" w:sz="0" w:space="0" w:color="auto"/>
                <w:left w:val="none" w:sz="0" w:space="0" w:color="auto"/>
                <w:bottom w:val="none" w:sz="0" w:space="0" w:color="auto"/>
                <w:right w:val="none" w:sz="0" w:space="0" w:color="auto"/>
              </w:divBdr>
              <w:divsChild>
                <w:div w:id="7638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226/61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pub/mlr/2018/article/multifactor-productivity-slowdown-in-us-manufacturing.htm" TargetMode="External"/><Relationship Id="rId2" Type="http://schemas.openxmlformats.org/officeDocument/2006/relationships/hyperlink" Target="https://www.ers.usda.gov/data-products/commuting-zones-and-labor-market-areas/" TargetMode="External"/><Relationship Id="rId1" Type="http://schemas.openxmlformats.org/officeDocument/2006/relationships/hyperlink" Target="https://www.census.gov/data/tables/2001/econ/qtax/historical.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HY_KONG\Downloads\gdp.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HY_KONG\Desktop\Job%20Mkt%20Paper\Edu_revenue_histor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gdp!$B$3</c:f>
              <c:strCache>
                <c:ptCount val="1"/>
                <c:pt idx="0">
                  <c:v>CHN</c:v>
                </c:pt>
              </c:strCache>
            </c:strRef>
          </c:tx>
          <c:spPr>
            <a:ln w="28575" cap="rnd">
              <a:solidFill>
                <a:schemeClr val="accent1"/>
              </a:solidFill>
              <a:round/>
            </a:ln>
            <a:effectLst/>
          </c:spPr>
          <c:marker>
            <c:symbol val="none"/>
          </c:marker>
          <c:cat>
            <c:numRef>
              <c:f>gdp!$A$4:$A$43</c:f>
              <c:numCache>
                <c:formatCode>General</c:formatCode>
                <c:ptCount val="40"/>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numCache>
            </c:numRef>
          </c:cat>
          <c:val>
            <c:numRef>
              <c:f>gdp!$B$4:$B$43</c:f>
              <c:numCache>
                <c:formatCode>General</c:formatCode>
                <c:ptCount val="40"/>
                <c:pt idx="0">
                  <c:v>-6.5714516200000004</c:v>
                </c:pt>
                <c:pt idx="1">
                  <c:v>13.779340339999999</c:v>
                </c:pt>
                <c:pt idx="2">
                  <c:v>16.050399290000001</c:v>
                </c:pt>
                <c:pt idx="3">
                  <c:v>4.1591762059999997</c:v>
                </c:pt>
                <c:pt idx="4">
                  <c:v>1.2901059690000001</c:v>
                </c:pt>
                <c:pt idx="5">
                  <c:v>5.3272930150000004</c:v>
                </c:pt>
                <c:pt idx="6">
                  <c:v>0.21800566499999999</c:v>
                </c:pt>
                <c:pt idx="7">
                  <c:v>6.8164405090000004</c:v>
                </c:pt>
                <c:pt idx="8">
                  <c:v>-3.0813219859999998</c:v>
                </c:pt>
                <c:pt idx="9">
                  <c:v>6.1140016739999998</c:v>
                </c:pt>
                <c:pt idx="10">
                  <c:v>9.6568929899999993</c:v>
                </c:pt>
                <c:pt idx="11">
                  <c:v>6.1742240749999997</c:v>
                </c:pt>
                <c:pt idx="12">
                  <c:v>6.4630012670000001</c:v>
                </c:pt>
                <c:pt idx="13">
                  <c:v>3.8337971180000001</c:v>
                </c:pt>
                <c:pt idx="14">
                  <c:v>7.341931346</c:v>
                </c:pt>
                <c:pt idx="15">
                  <c:v>9.2452163540000001</c:v>
                </c:pt>
                <c:pt idx="16">
                  <c:v>13.638334199999999</c:v>
                </c:pt>
                <c:pt idx="17">
                  <c:v>11.909108399999999</c:v>
                </c:pt>
                <c:pt idx="18">
                  <c:v>7.3313320180000003</c:v>
                </c:pt>
                <c:pt idx="19">
                  <c:v>9.9121661379999999</c:v>
                </c:pt>
                <c:pt idx="20">
                  <c:v>9.4579011519999998</c:v>
                </c:pt>
                <c:pt idx="21">
                  <c:v>2.6007041069999999</c:v>
                </c:pt>
                <c:pt idx="22">
                  <c:v>2.3936124589999999</c:v>
                </c:pt>
                <c:pt idx="23">
                  <c:v>7.8129577899999996</c:v>
                </c:pt>
                <c:pt idx="24">
                  <c:v>12.824945469999999</c:v>
                </c:pt>
                <c:pt idx="25">
                  <c:v>12.566027999999999</c:v>
                </c:pt>
                <c:pt idx="26">
                  <c:v>11.78156869</c:v>
                </c:pt>
                <c:pt idx="27">
                  <c:v>9.7502790009999991</c:v>
                </c:pt>
                <c:pt idx="28">
                  <c:v>8.7821848829999993</c:v>
                </c:pt>
                <c:pt idx="29">
                  <c:v>8.1185481189999997</c:v>
                </c:pt>
                <c:pt idx="30">
                  <c:v>6.807806319</c:v>
                </c:pt>
                <c:pt idx="31">
                  <c:v>6.7392700269999999</c:v>
                </c:pt>
                <c:pt idx="32">
                  <c:v>7.6400016549999998</c:v>
                </c:pt>
                <c:pt idx="33">
                  <c:v>7.5558016720000003</c:v>
                </c:pt>
                <c:pt idx="34">
                  <c:v>8.4019150610000004</c:v>
                </c:pt>
                <c:pt idx="35">
                  <c:v>9.352364262</c:v>
                </c:pt>
                <c:pt idx="36">
                  <c:v>9.4591750500000007</c:v>
                </c:pt>
                <c:pt idx="37">
                  <c:v>10.742552310000001</c:v>
                </c:pt>
                <c:pt idx="38">
                  <c:v>12.09183627</c:v>
                </c:pt>
                <c:pt idx="39">
                  <c:v>13.636344859999999</c:v>
                </c:pt>
              </c:numCache>
            </c:numRef>
          </c:val>
          <c:smooth val="0"/>
          <c:extLst>
            <c:ext xmlns:c16="http://schemas.microsoft.com/office/drawing/2014/chart" uri="{C3380CC4-5D6E-409C-BE32-E72D297353CC}">
              <c16:uniqueId val="{00000000-14D5-004D-AF75-3C8F6A9A1A63}"/>
            </c:ext>
          </c:extLst>
        </c:ser>
        <c:ser>
          <c:idx val="2"/>
          <c:order val="1"/>
          <c:tx>
            <c:strRef>
              <c:f>gdp!$C$3</c:f>
              <c:strCache>
                <c:ptCount val="1"/>
                <c:pt idx="0">
                  <c:v>USA</c:v>
                </c:pt>
              </c:strCache>
            </c:strRef>
          </c:tx>
          <c:spPr>
            <a:ln w="28575" cap="rnd">
              <a:solidFill>
                <a:schemeClr val="accent6"/>
              </a:solidFill>
              <a:round/>
            </a:ln>
            <a:effectLst/>
          </c:spPr>
          <c:marker>
            <c:symbol val="none"/>
          </c:marker>
          <c:cat>
            <c:numRef>
              <c:f>gdp!$A$4:$A$43</c:f>
              <c:numCache>
                <c:formatCode>General</c:formatCode>
                <c:ptCount val="40"/>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numCache>
            </c:numRef>
          </c:cat>
          <c:val>
            <c:numRef>
              <c:f>gdp!$C$4:$C$43</c:f>
              <c:numCache>
                <c:formatCode>General</c:formatCode>
                <c:ptCount val="40"/>
                <c:pt idx="0">
                  <c:v>3.7588193680000002</c:v>
                </c:pt>
                <c:pt idx="1">
                  <c:v>2.0973697059999998</c:v>
                </c:pt>
                <c:pt idx="2">
                  <c:v>-1.409379521</c:v>
                </c:pt>
                <c:pt idx="3">
                  <c:v>1.9956108400000001</c:v>
                </c:pt>
                <c:pt idx="4">
                  <c:v>4.1380849030000002</c:v>
                </c:pt>
                <c:pt idx="5">
                  <c:v>4.6421526880000004</c:v>
                </c:pt>
                <c:pt idx="6">
                  <c:v>-1.4451292680000001</c:v>
                </c:pt>
                <c:pt idx="7">
                  <c:v>-1.184589283</c:v>
                </c:pt>
                <c:pt idx="8">
                  <c:v>4.3914628090000001</c:v>
                </c:pt>
                <c:pt idx="9">
                  <c:v>3.577152785</c:v>
                </c:pt>
                <c:pt idx="10">
                  <c:v>4.4229823660000003</c:v>
                </c:pt>
                <c:pt idx="11">
                  <c:v>2.0338919739999999</c:v>
                </c:pt>
                <c:pt idx="12">
                  <c:v>-1.2093004979999999</c:v>
                </c:pt>
                <c:pt idx="13">
                  <c:v>1.536319676</c:v>
                </c:pt>
                <c:pt idx="14">
                  <c:v>-2.7345568980000001</c:v>
                </c:pt>
                <c:pt idx="15">
                  <c:v>3.6319931300000001</c:v>
                </c:pt>
                <c:pt idx="16">
                  <c:v>6.3121546139999998</c:v>
                </c:pt>
                <c:pt idx="17">
                  <c:v>3.2506561559999998</c:v>
                </c:pt>
                <c:pt idx="18">
                  <c:v>2.5108916570000002</c:v>
                </c:pt>
                <c:pt idx="19">
                  <c:v>2.5389412500000001</c:v>
                </c:pt>
                <c:pt idx="20">
                  <c:v>3.2354013369999999</c:v>
                </c:pt>
                <c:pt idx="21">
                  <c:v>2.698174775</c:v>
                </c:pt>
                <c:pt idx="22">
                  <c:v>0.74148151699999998</c:v>
                </c:pt>
                <c:pt idx="23">
                  <c:v>-1.4341945149999999</c:v>
                </c:pt>
                <c:pt idx="24">
                  <c:v>2.096614706</c:v>
                </c:pt>
                <c:pt idx="25">
                  <c:v>1.406757912</c:v>
                </c:pt>
                <c:pt idx="26">
                  <c:v>2.7609275430000002</c:v>
                </c:pt>
                <c:pt idx="27">
                  <c:v>1.4687872660000001</c:v>
                </c:pt>
                <c:pt idx="28">
                  <c:v>2.5721957660000001</c:v>
                </c:pt>
                <c:pt idx="29">
                  <c:v>3.1972529569999999</c:v>
                </c:pt>
                <c:pt idx="30">
                  <c:v>3.2705240440000001</c:v>
                </c:pt>
                <c:pt idx="31">
                  <c:v>3.557193093</c:v>
                </c:pt>
                <c:pt idx="32">
                  <c:v>2.9752086250000001</c:v>
                </c:pt>
                <c:pt idx="33">
                  <c:v>3.64898E-3</c:v>
                </c:pt>
                <c:pt idx="34">
                  <c:v>0.80210385200000001</c:v>
                </c:pt>
                <c:pt idx="35">
                  <c:v>1.980925834</c:v>
                </c:pt>
                <c:pt idx="36">
                  <c:v>2.8426806419999999</c:v>
                </c:pt>
                <c:pt idx="37">
                  <c:v>2.5635024070000001</c:v>
                </c:pt>
                <c:pt idx="38">
                  <c:v>1.8679555139999999</c:v>
                </c:pt>
                <c:pt idx="39">
                  <c:v>0.91186559700000003</c:v>
                </c:pt>
              </c:numCache>
            </c:numRef>
          </c:val>
          <c:smooth val="0"/>
          <c:extLst>
            <c:ext xmlns:c16="http://schemas.microsoft.com/office/drawing/2014/chart" uri="{C3380CC4-5D6E-409C-BE32-E72D297353CC}">
              <c16:uniqueId val="{00000001-14D5-004D-AF75-3C8F6A9A1A63}"/>
            </c:ext>
          </c:extLst>
        </c:ser>
        <c:dLbls>
          <c:showLegendKey val="0"/>
          <c:showVal val="0"/>
          <c:showCatName val="0"/>
          <c:showSerName val="0"/>
          <c:showPercent val="0"/>
          <c:showBubbleSize val="0"/>
        </c:dLbls>
        <c:smooth val="0"/>
        <c:axId val="441614984"/>
        <c:axId val="441614592"/>
      </c:lineChart>
      <c:catAx>
        <c:axId val="441614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14592"/>
        <c:crosses val="autoZero"/>
        <c:auto val="1"/>
        <c:lblAlgn val="ctr"/>
        <c:lblOffset val="100"/>
        <c:noMultiLvlLbl val="0"/>
      </c:catAx>
      <c:valAx>
        <c:axId val="44161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Growth rate</a:t>
                </a:r>
                <a:r>
                  <a:rPr lang="en-US" baseline="0"/>
                  <a:t> %</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1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Federal</c:v>
                </c:pt>
              </c:strCache>
            </c:strRef>
          </c:tx>
          <c:spPr>
            <a:ln w="28575" cap="rnd">
              <a:solidFill>
                <a:schemeClr val="accent1"/>
              </a:solidFill>
              <a:round/>
            </a:ln>
            <a:effectLst/>
          </c:spPr>
          <c:marker>
            <c:symbol val="none"/>
          </c:marker>
          <c:cat>
            <c:strRef>
              <c:f>Sheet2!$A$2:$A$57</c:f>
              <c:strCache>
                <c:ptCount val="56"/>
                <c:pt idx="0">
                  <c:v>1919-20</c:v>
                </c:pt>
                <c:pt idx="1">
                  <c:v>1929-30</c:v>
                </c:pt>
                <c:pt idx="2">
                  <c:v>1939-40</c:v>
                </c:pt>
                <c:pt idx="3">
                  <c:v>1941-42</c:v>
                </c:pt>
                <c:pt idx="4">
                  <c:v>1943-44</c:v>
                </c:pt>
                <c:pt idx="5">
                  <c:v>1945-46</c:v>
                </c:pt>
                <c:pt idx="6">
                  <c:v>1947-48</c:v>
                </c:pt>
                <c:pt idx="7">
                  <c:v>1949-50</c:v>
                </c:pt>
                <c:pt idx="8">
                  <c:v>1951-52</c:v>
                </c:pt>
                <c:pt idx="9">
                  <c:v>1953-54</c:v>
                </c:pt>
                <c:pt idx="10">
                  <c:v>1955-56</c:v>
                </c:pt>
                <c:pt idx="11">
                  <c:v>1957-58</c:v>
                </c:pt>
                <c:pt idx="12">
                  <c:v>1959-60</c:v>
                </c:pt>
                <c:pt idx="13">
                  <c:v>1961-62</c:v>
                </c:pt>
                <c:pt idx="14">
                  <c:v>1963-64</c:v>
                </c:pt>
                <c:pt idx="15">
                  <c:v>1965-66</c:v>
                </c:pt>
                <c:pt idx="16">
                  <c:v>1967-68</c:v>
                </c:pt>
                <c:pt idx="17">
                  <c:v>1969-70</c:v>
                </c:pt>
                <c:pt idx="18">
                  <c:v>1970-71</c:v>
                </c:pt>
                <c:pt idx="19">
                  <c:v>1971-72</c:v>
                </c:pt>
                <c:pt idx="20">
                  <c:v>1972-73</c:v>
                </c:pt>
                <c:pt idx="21">
                  <c:v>1973-74</c:v>
                </c:pt>
                <c:pt idx="22">
                  <c:v>1974-75</c:v>
                </c:pt>
                <c:pt idx="23">
                  <c:v>1975-76</c:v>
                </c:pt>
                <c:pt idx="24">
                  <c:v>1976-77</c:v>
                </c:pt>
                <c:pt idx="25">
                  <c:v>1977-78</c:v>
                </c:pt>
                <c:pt idx="26">
                  <c:v>1978-79</c:v>
                </c:pt>
                <c:pt idx="27">
                  <c:v>1979-80</c:v>
                </c:pt>
                <c:pt idx="28">
                  <c:v>1980-81</c:v>
                </c:pt>
                <c:pt idx="29">
                  <c:v>1981-82</c:v>
                </c:pt>
                <c:pt idx="30">
                  <c:v>1982-83</c:v>
                </c:pt>
                <c:pt idx="31">
                  <c:v>1983-84</c:v>
                </c:pt>
                <c:pt idx="32">
                  <c:v>1984-85</c:v>
                </c:pt>
                <c:pt idx="33">
                  <c:v>1985-86</c:v>
                </c:pt>
                <c:pt idx="34">
                  <c:v>1986-87</c:v>
                </c:pt>
                <c:pt idx="35">
                  <c:v>1987-88</c:v>
                </c:pt>
                <c:pt idx="36">
                  <c:v>1988-89</c:v>
                </c:pt>
                <c:pt idx="37">
                  <c:v>1989-90</c:v>
                </c:pt>
                <c:pt idx="38">
                  <c:v>1990-91</c:v>
                </c:pt>
                <c:pt idx="39">
                  <c:v>1991-92</c:v>
                </c:pt>
                <c:pt idx="40">
                  <c:v>1992-93</c:v>
                </c:pt>
                <c:pt idx="41">
                  <c:v>1993-94</c:v>
                </c:pt>
                <c:pt idx="42">
                  <c:v>1994-95</c:v>
                </c:pt>
                <c:pt idx="43">
                  <c:v>1995-96</c:v>
                </c:pt>
                <c:pt idx="44">
                  <c:v>1996-97</c:v>
                </c:pt>
                <c:pt idx="45">
                  <c:v>1997-98</c:v>
                </c:pt>
                <c:pt idx="46">
                  <c:v>1998-99</c:v>
                </c:pt>
                <c:pt idx="47">
                  <c:v>1999-2000</c:v>
                </c:pt>
                <c:pt idx="48">
                  <c:v>2000-01</c:v>
                </c:pt>
                <c:pt idx="49">
                  <c:v>2001-02</c:v>
                </c:pt>
                <c:pt idx="50">
                  <c:v>2002-03</c:v>
                </c:pt>
                <c:pt idx="51">
                  <c:v>2003-042 </c:v>
                </c:pt>
                <c:pt idx="52">
                  <c:v>2004-05</c:v>
                </c:pt>
                <c:pt idx="53">
                  <c:v>2005-06 </c:v>
                </c:pt>
                <c:pt idx="54">
                  <c:v>2006-07</c:v>
                </c:pt>
                <c:pt idx="55">
                  <c:v>2007-08 </c:v>
                </c:pt>
              </c:strCache>
            </c:strRef>
          </c:cat>
          <c:val>
            <c:numRef>
              <c:f>Sheet2!$B$2:$B$57</c:f>
              <c:numCache>
                <c:formatCode>General</c:formatCode>
                <c:ptCount val="56"/>
                <c:pt idx="0">
                  <c:v>0.3</c:v>
                </c:pt>
                <c:pt idx="1">
                  <c:v>0.4</c:v>
                </c:pt>
                <c:pt idx="2">
                  <c:v>1.8</c:v>
                </c:pt>
                <c:pt idx="3">
                  <c:v>1.4</c:v>
                </c:pt>
                <c:pt idx="4">
                  <c:v>1.4</c:v>
                </c:pt>
                <c:pt idx="5">
                  <c:v>1.4</c:v>
                </c:pt>
                <c:pt idx="6">
                  <c:v>2.8</c:v>
                </c:pt>
                <c:pt idx="7">
                  <c:v>2.9</c:v>
                </c:pt>
                <c:pt idx="8">
                  <c:v>3.5</c:v>
                </c:pt>
                <c:pt idx="9">
                  <c:v>4.5</c:v>
                </c:pt>
                <c:pt idx="10">
                  <c:v>4.5999999999999996</c:v>
                </c:pt>
                <c:pt idx="11">
                  <c:v>4</c:v>
                </c:pt>
                <c:pt idx="12">
                  <c:v>4.4000000000000004</c:v>
                </c:pt>
                <c:pt idx="13">
                  <c:v>4.3</c:v>
                </c:pt>
                <c:pt idx="14">
                  <c:v>4.4000000000000004</c:v>
                </c:pt>
                <c:pt idx="15">
                  <c:v>7.9</c:v>
                </c:pt>
                <c:pt idx="16">
                  <c:v>8.8000000000000007</c:v>
                </c:pt>
                <c:pt idx="17">
                  <c:v>8</c:v>
                </c:pt>
                <c:pt idx="18">
                  <c:v>8.4</c:v>
                </c:pt>
                <c:pt idx="19">
                  <c:v>8.9</c:v>
                </c:pt>
                <c:pt idx="20">
                  <c:v>8.6999999999999993</c:v>
                </c:pt>
                <c:pt idx="21">
                  <c:v>8.5</c:v>
                </c:pt>
                <c:pt idx="22">
                  <c:v>9</c:v>
                </c:pt>
                <c:pt idx="23">
                  <c:v>8.9</c:v>
                </c:pt>
                <c:pt idx="24">
                  <c:v>8.8000000000000007</c:v>
                </c:pt>
                <c:pt idx="25">
                  <c:v>9.4</c:v>
                </c:pt>
                <c:pt idx="26">
                  <c:v>9.8000000000000007</c:v>
                </c:pt>
                <c:pt idx="27">
                  <c:v>9.8000000000000007</c:v>
                </c:pt>
                <c:pt idx="28">
                  <c:v>9.1999999999999993</c:v>
                </c:pt>
                <c:pt idx="29">
                  <c:v>7.4</c:v>
                </c:pt>
                <c:pt idx="30">
                  <c:v>7.1</c:v>
                </c:pt>
                <c:pt idx="31">
                  <c:v>6.8</c:v>
                </c:pt>
                <c:pt idx="32">
                  <c:v>6.6</c:v>
                </c:pt>
                <c:pt idx="33">
                  <c:v>6.7</c:v>
                </c:pt>
                <c:pt idx="34">
                  <c:v>6.4</c:v>
                </c:pt>
                <c:pt idx="35">
                  <c:v>6.3</c:v>
                </c:pt>
                <c:pt idx="36">
                  <c:v>6.2</c:v>
                </c:pt>
                <c:pt idx="37">
                  <c:v>6.1</c:v>
                </c:pt>
                <c:pt idx="38">
                  <c:v>6.2</c:v>
                </c:pt>
                <c:pt idx="39">
                  <c:v>6.6</c:v>
                </c:pt>
                <c:pt idx="40">
                  <c:v>7</c:v>
                </c:pt>
                <c:pt idx="41">
                  <c:v>7.1</c:v>
                </c:pt>
                <c:pt idx="42">
                  <c:v>6.8</c:v>
                </c:pt>
                <c:pt idx="43">
                  <c:v>6.6</c:v>
                </c:pt>
                <c:pt idx="44">
                  <c:v>6.6</c:v>
                </c:pt>
                <c:pt idx="45">
                  <c:v>6.8</c:v>
                </c:pt>
                <c:pt idx="46">
                  <c:v>7.1</c:v>
                </c:pt>
                <c:pt idx="47">
                  <c:v>7.3</c:v>
                </c:pt>
                <c:pt idx="48">
                  <c:v>7.3</c:v>
                </c:pt>
                <c:pt idx="49">
                  <c:v>7.9</c:v>
                </c:pt>
                <c:pt idx="50">
                  <c:v>8.5</c:v>
                </c:pt>
                <c:pt idx="51">
                  <c:v>9.1</c:v>
                </c:pt>
                <c:pt idx="52">
                  <c:v>9.1999999999999993</c:v>
                </c:pt>
                <c:pt idx="53" formatCode="0.0">
                  <c:v>9.1340353243110588</c:v>
                </c:pt>
                <c:pt idx="54" formatCode="0.0">
                  <c:v>8.4847390557398548</c:v>
                </c:pt>
                <c:pt idx="55" formatCode="0.0">
                  <c:v>8.1588682969870714</c:v>
                </c:pt>
              </c:numCache>
            </c:numRef>
          </c:val>
          <c:smooth val="0"/>
          <c:extLst>
            <c:ext xmlns:c16="http://schemas.microsoft.com/office/drawing/2014/chart" uri="{C3380CC4-5D6E-409C-BE32-E72D297353CC}">
              <c16:uniqueId val="{00000000-7A4C-D949-A55D-5D99A13969CA}"/>
            </c:ext>
          </c:extLst>
        </c:ser>
        <c:ser>
          <c:idx val="1"/>
          <c:order val="1"/>
          <c:tx>
            <c:strRef>
              <c:f>Sheet2!$C$1</c:f>
              <c:strCache>
                <c:ptCount val="1"/>
                <c:pt idx="0">
                  <c:v>State</c:v>
                </c:pt>
              </c:strCache>
            </c:strRef>
          </c:tx>
          <c:spPr>
            <a:ln w="28575" cap="rnd">
              <a:solidFill>
                <a:schemeClr val="accent2"/>
              </a:solidFill>
              <a:round/>
            </a:ln>
            <a:effectLst/>
          </c:spPr>
          <c:marker>
            <c:symbol val="none"/>
          </c:marker>
          <c:cat>
            <c:strRef>
              <c:f>Sheet2!$A$2:$A$57</c:f>
              <c:strCache>
                <c:ptCount val="56"/>
                <c:pt idx="0">
                  <c:v>1919-20</c:v>
                </c:pt>
                <c:pt idx="1">
                  <c:v>1929-30</c:v>
                </c:pt>
                <c:pt idx="2">
                  <c:v>1939-40</c:v>
                </c:pt>
                <c:pt idx="3">
                  <c:v>1941-42</c:v>
                </c:pt>
                <c:pt idx="4">
                  <c:v>1943-44</c:v>
                </c:pt>
                <c:pt idx="5">
                  <c:v>1945-46</c:v>
                </c:pt>
                <c:pt idx="6">
                  <c:v>1947-48</c:v>
                </c:pt>
                <c:pt idx="7">
                  <c:v>1949-50</c:v>
                </c:pt>
                <c:pt idx="8">
                  <c:v>1951-52</c:v>
                </c:pt>
                <c:pt idx="9">
                  <c:v>1953-54</c:v>
                </c:pt>
                <c:pt idx="10">
                  <c:v>1955-56</c:v>
                </c:pt>
                <c:pt idx="11">
                  <c:v>1957-58</c:v>
                </c:pt>
                <c:pt idx="12">
                  <c:v>1959-60</c:v>
                </c:pt>
                <c:pt idx="13">
                  <c:v>1961-62</c:v>
                </c:pt>
                <c:pt idx="14">
                  <c:v>1963-64</c:v>
                </c:pt>
                <c:pt idx="15">
                  <c:v>1965-66</c:v>
                </c:pt>
                <c:pt idx="16">
                  <c:v>1967-68</c:v>
                </c:pt>
                <c:pt idx="17">
                  <c:v>1969-70</c:v>
                </c:pt>
                <c:pt idx="18">
                  <c:v>1970-71</c:v>
                </c:pt>
                <c:pt idx="19">
                  <c:v>1971-72</c:v>
                </c:pt>
                <c:pt idx="20">
                  <c:v>1972-73</c:v>
                </c:pt>
                <c:pt idx="21">
                  <c:v>1973-74</c:v>
                </c:pt>
                <c:pt idx="22">
                  <c:v>1974-75</c:v>
                </c:pt>
                <c:pt idx="23">
                  <c:v>1975-76</c:v>
                </c:pt>
                <c:pt idx="24">
                  <c:v>1976-77</c:v>
                </c:pt>
                <c:pt idx="25">
                  <c:v>1977-78</c:v>
                </c:pt>
                <c:pt idx="26">
                  <c:v>1978-79</c:v>
                </c:pt>
                <c:pt idx="27">
                  <c:v>1979-80</c:v>
                </c:pt>
                <c:pt idx="28">
                  <c:v>1980-81</c:v>
                </c:pt>
                <c:pt idx="29">
                  <c:v>1981-82</c:v>
                </c:pt>
                <c:pt idx="30">
                  <c:v>1982-83</c:v>
                </c:pt>
                <c:pt idx="31">
                  <c:v>1983-84</c:v>
                </c:pt>
                <c:pt idx="32">
                  <c:v>1984-85</c:v>
                </c:pt>
                <c:pt idx="33">
                  <c:v>1985-86</c:v>
                </c:pt>
                <c:pt idx="34">
                  <c:v>1986-87</c:v>
                </c:pt>
                <c:pt idx="35">
                  <c:v>1987-88</c:v>
                </c:pt>
                <c:pt idx="36">
                  <c:v>1988-89</c:v>
                </c:pt>
                <c:pt idx="37">
                  <c:v>1989-90</c:v>
                </c:pt>
                <c:pt idx="38">
                  <c:v>1990-91</c:v>
                </c:pt>
                <c:pt idx="39">
                  <c:v>1991-92</c:v>
                </c:pt>
                <c:pt idx="40">
                  <c:v>1992-93</c:v>
                </c:pt>
                <c:pt idx="41">
                  <c:v>1993-94</c:v>
                </c:pt>
                <c:pt idx="42">
                  <c:v>1994-95</c:v>
                </c:pt>
                <c:pt idx="43">
                  <c:v>1995-96</c:v>
                </c:pt>
                <c:pt idx="44">
                  <c:v>1996-97</c:v>
                </c:pt>
                <c:pt idx="45">
                  <c:v>1997-98</c:v>
                </c:pt>
                <c:pt idx="46">
                  <c:v>1998-99</c:v>
                </c:pt>
                <c:pt idx="47">
                  <c:v>1999-2000</c:v>
                </c:pt>
                <c:pt idx="48">
                  <c:v>2000-01</c:v>
                </c:pt>
                <c:pt idx="49">
                  <c:v>2001-02</c:v>
                </c:pt>
                <c:pt idx="50">
                  <c:v>2002-03</c:v>
                </c:pt>
                <c:pt idx="51">
                  <c:v>2003-042 </c:v>
                </c:pt>
                <c:pt idx="52">
                  <c:v>2004-05</c:v>
                </c:pt>
                <c:pt idx="53">
                  <c:v>2005-06 </c:v>
                </c:pt>
                <c:pt idx="54">
                  <c:v>2006-07</c:v>
                </c:pt>
                <c:pt idx="55">
                  <c:v>2007-08 </c:v>
                </c:pt>
              </c:strCache>
            </c:strRef>
          </c:cat>
          <c:val>
            <c:numRef>
              <c:f>Sheet2!$C$2:$C$57</c:f>
              <c:numCache>
                <c:formatCode>General</c:formatCode>
                <c:ptCount val="56"/>
                <c:pt idx="0">
                  <c:v>16.5</c:v>
                </c:pt>
                <c:pt idx="1">
                  <c:v>16.899999999999999</c:v>
                </c:pt>
                <c:pt idx="2">
                  <c:v>30.3</c:v>
                </c:pt>
                <c:pt idx="3">
                  <c:v>31.4</c:v>
                </c:pt>
                <c:pt idx="4">
                  <c:v>33</c:v>
                </c:pt>
                <c:pt idx="5">
                  <c:v>34.700000000000003</c:v>
                </c:pt>
                <c:pt idx="6">
                  <c:v>38.9</c:v>
                </c:pt>
                <c:pt idx="7">
                  <c:v>39.799999999999997</c:v>
                </c:pt>
                <c:pt idx="8">
                  <c:v>38.6</c:v>
                </c:pt>
                <c:pt idx="9">
                  <c:v>37.4</c:v>
                </c:pt>
                <c:pt idx="10">
                  <c:v>39.5</c:v>
                </c:pt>
                <c:pt idx="11">
                  <c:v>39.4</c:v>
                </c:pt>
                <c:pt idx="12">
                  <c:v>39.1</c:v>
                </c:pt>
                <c:pt idx="13">
                  <c:v>38.700000000000003</c:v>
                </c:pt>
                <c:pt idx="14">
                  <c:v>39.299999999999997</c:v>
                </c:pt>
                <c:pt idx="15">
                  <c:v>39.1</c:v>
                </c:pt>
                <c:pt idx="16">
                  <c:v>38.5</c:v>
                </c:pt>
                <c:pt idx="17">
                  <c:v>39.9</c:v>
                </c:pt>
                <c:pt idx="18">
                  <c:v>39.1</c:v>
                </c:pt>
                <c:pt idx="19">
                  <c:v>38.299999999999997</c:v>
                </c:pt>
                <c:pt idx="20">
                  <c:v>39.700000000000003</c:v>
                </c:pt>
                <c:pt idx="21">
                  <c:v>41.4</c:v>
                </c:pt>
                <c:pt idx="22">
                  <c:v>42</c:v>
                </c:pt>
                <c:pt idx="23">
                  <c:v>44.4</c:v>
                </c:pt>
                <c:pt idx="24">
                  <c:v>43.2</c:v>
                </c:pt>
                <c:pt idx="25">
                  <c:v>43</c:v>
                </c:pt>
                <c:pt idx="26">
                  <c:v>45.6</c:v>
                </c:pt>
                <c:pt idx="27">
                  <c:v>46.8</c:v>
                </c:pt>
                <c:pt idx="28">
                  <c:v>47.4</c:v>
                </c:pt>
                <c:pt idx="29">
                  <c:v>47.6</c:v>
                </c:pt>
                <c:pt idx="30">
                  <c:v>47.9</c:v>
                </c:pt>
                <c:pt idx="31">
                  <c:v>47.8</c:v>
                </c:pt>
                <c:pt idx="32">
                  <c:v>48.9</c:v>
                </c:pt>
                <c:pt idx="33">
                  <c:v>49.4</c:v>
                </c:pt>
                <c:pt idx="34">
                  <c:v>49.7</c:v>
                </c:pt>
                <c:pt idx="35">
                  <c:v>49.5</c:v>
                </c:pt>
                <c:pt idx="36">
                  <c:v>47.8</c:v>
                </c:pt>
                <c:pt idx="37">
                  <c:v>47.1</c:v>
                </c:pt>
                <c:pt idx="38">
                  <c:v>47.2</c:v>
                </c:pt>
                <c:pt idx="39">
                  <c:v>46.4</c:v>
                </c:pt>
                <c:pt idx="40">
                  <c:v>45.8</c:v>
                </c:pt>
                <c:pt idx="41">
                  <c:v>45.2</c:v>
                </c:pt>
                <c:pt idx="42">
                  <c:v>46.8</c:v>
                </c:pt>
                <c:pt idx="43">
                  <c:v>47.5</c:v>
                </c:pt>
                <c:pt idx="44">
                  <c:v>48</c:v>
                </c:pt>
                <c:pt idx="45">
                  <c:v>48.4</c:v>
                </c:pt>
                <c:pt idx="46">
                  <c:v>48.7</c:v>
                </c:pt>
                <c:pt idx="47">
                  <c:v>49.5</c:v>
                </c:pt>
                <c:pt idx="48">
                  <c:v>49.7</c:v>
                </c:pt>
                <c:pt idx="49">
                  <c:v>49.2</c:v>
                </c:pt>
                <c:pt idx="50">
                  <c:v>48.7</c:v>
                </c:pt>
                <c:pt idx="51">
                  <c:v>47.1</c:v>
                </c:pt>
                <c:pt idx="52">
                  <c:v>46.9</c:v>
                </c:pt>
                <c:pt idx="53" formatCode="0.0">
                  <c:v>46.511898179582055</c:v>
                </c:pt>
                <c:pt idx="54" formatCode="0.0">
                  <c:v>47.436320991310446</c:v>
                </c:pt>
                <c:pt idx="55" formatCode="0.0">
                  <c:v>48.340830652961678</c:v>
                </c:pt>
              </c:numCache>
            </c:numRef>
          </c:val>
          <c:smooth val="0"/>
          <c:extLst>
            <c:ext xmlns:c16="http://schemas.microsoft.com/office/drawing/2014/chart" uri="{C3380CC4-5D6E-409C-BE32-E72D297353CC}">
              <c16:uniqueId val="{00000001-7A4C-D949-A55D-5D99A13969CA}"/>
            </c:ext>
          </c:extLst>
        </c:ser>
        <c:ser>
          <c:idx val="2"/>
          <c:order val="2"/>
          <c:tx>
            <c:strRef>
              <c:f>Sheet2!$D$1</c:f>
              <c:strCache>
                <c:ptCount val="1"/>
                <c:pt idx="0">
                  <c:v>Local</c:v>
                </c:pt>
              </c:strCache>
            </c:strRef>
          </c:tx>
          <c:spPr>
            <a:ln w="28575" cap="rnd">
              <a:solidFill>
                <a:schemeClr val="accent3"/>
              </a:solidFill>
              <a:round/>
            </a:ln>
            <a:effectLst/>
          </c:spPr>
          <c:marker>
            <c:symbol val="none"/>
          </c:marker>
          <c:cat>
            <c:strRef>
              <c:f>Sheet2!$A$2:$A$57</c:f>
              <c:strCache>
                <c:ptCount val="56"/>
                <c:pt idx="0">
                  <c:v>1919-20</c:v>
                </c:pt>
                <c:pt idx="1">
                  <c:v>1929-30</c:v>
                </c:pt>
                <c:pt idx="2">
                  <c:v>1939-40</c:v>
                </c:pt>
                <c:pt idx="3">
                  <c:v>1941-42</c:v>
                </c:pt>
                <c:pt idx="4">
                  <c:v>1943-44</c:v>
                </c:pt>
                <c:pt idx="5">
                  <c:v>1945-46</c:v>
                </c:pt>
                <c:pt idx="6">
                  <c:v>1947-48</c:v>
                </c:pt>
                <c:pt idx="7">
                  <c:v>1949-50</c:v>
                </c:pt>
                <c:pt idx="8">
                  <c:v>1951-52</c:v>
                </c:pt>
                <c:pt idx="9">
                  <c:v>1953-54</c:v>
                </c:pt>
                <c:pt idx="10">
                  <c:v>1955-56</c:v>
                </c:pt>
                <c:pt idx="11">
                  <c:v>1957-58</c:v>
                </c:pt>
                <c:pt idx="12">
                  <c:v>1959-60</c:v>
                </c:pt>
                <c:pt idx="13">
                  <c:v>1961-62</c:v>
                </c:pt>
                <c:pt idx="14">
                  <c:v>1963-64</c:v>
                </c:pt>
                <c:pt idx="15">
                  <c:v>1965-66</c:v>
                </c:pt>
                <c:pt idx="16">
                  <c:v>1967-68</c:v>
                </c:pt>
                <c:pt idx="17">
                  <c:v>1969-70</c:v>
                </c:pt>
                <c:pt idx="18">
                  <c:v>1970-71</c:v>
                </c:pt>
                <c:pt idx="19">
                  <c:v>1971-72</c:v>
                </c:pt>
                <c:pt idx="20">
                  <c:v>1972-73</c:v>
                </c:pt>
                <c:pt idx="21">
                  <c:v>1973-74</c:v>
                </c:pt>
                <c:pt idx="22">
                  <c:v>1974-75</c:v>
                </c:pt>
                <c:pt idx="23">
                  <c:v>1975-76</c:v>
                </c:pt>
                <c:pt idx="24">
                  <c:v>1976-77</c:v>
                </c:pt>
                <c:pt idx="25">
                  <c:v>1977-78</c:v>
                </c:pt>
                <c:pt idx="26">
                  <c:v>1978-79</c:v>
                </c:pt>
                <c:pt idx="27">
                  <c:v>1979-80</c:v>
                </c:pt>
                <c:pt idx="28">
                  <c:v>1980-81</c:v>
                </c:pt>
                <c:pt idx="29">
                  <c:v>1981-82</c:v>
                </c:pt>
                <c:pt idx="30">
                  <c:v>1982-83</c:v>
                </c:pt>
                <c:pt idx="31">
                  <c:v>1983-84</c:v>
                </c:pt>
                <c:pt idx="32">
                  <c:v>1984-85</c:v>
                </c:pt>
                <c:pt idx="33">
                  <c:v>1985-86</c:v>
                </c:pt>
                <c:pt idx="34">
                  <c:v>1986-87</c:v>
                </c:pt>
                <c:pt idx="35">
                  <c:v>1987-88</c:v>
                </c:pt>
                <c:pt idx="36">
                  <c:v>1988-89</c:v>
                </c:pt>
                <c:pt idx="37">
                  <c:v>1989-90</c:v>
                </c:pt>
                <c:pt idx="38">
                  <c:v>1990-91</c:v>
                </c:pt>
                <c:pt idx="39">
                  <c:v>1991-92</c:v>
                </c:pt>
                <c:pt idx="40">
                  <c:v>1992-93</c:v>
                </c:pt>
                <c:pt idx="41">
                  <c:v>1993-94</c:v>
                </c:pt>
                <c:pt idx="42">
                  <c:v>1994-95</c:v>
                </c:pt>
                <c:pt idx="43">
                  <c:v>1995-96</c:v>
                </c:pt>
                <c:pt idx="44">
                  <c:v>1996-97</c:v>
                </c:pt>
                <c:pt idx="45">
                  <c:v>1997-98</c:v>
                </c:pt>
                <c:pt idx="46">
                  <c:v>1998-99</c:v>
                </c:pt>
                <c:pt idx="47">
                  <c:v>1999-2000</c:v>
                </c:pt>
                <c:pt idx="48">
                  <c:v>2000-01</c:v>
                </c:pt>
                <c:pt idx="49">
                  <c:v>2001-02</c:v>
                </c:pt>
                <c:pt idx="50">
                  <c:v>2002-03</c:v>
                </c:pt>
                <c:pt idx="51">
                  <c:v>2003-042 </c:v>
                </c:pt>
                <c:pt idx="52">
                  <c:v>2004-05</c:v>
                </c:pt>
                <c:pt idx="53">
                  <c:v>2005-06 </c:v>
                </c:pt>
                <c:pt idx="54">
                  <c:v>2006-07</c:v>
                </c:pt>
                <c:pt idx="55">
                  <c:v>2007-08 </c:v>
                </c:pt>
              </c:strCache>
            </c:strRef>
          </c:cat>
          <c:val>
            <c:numRef>
              <c:f>Sheet2!$D$2:$D$57</c:f>
              <c:numCache>
                <c:formatCode>General</c:formatCode>
                <c:ptCount val="56"/>
                <c:pt idx="0">
                  <c:v>83.2</c:v>
                </c:pt>
                <c:pt idx="1">
                  <c:v>82.7</c:v>
                </c:pt>
                <c:pt idx="2">
                  <c:v>68</c:v>
                </c:pt>
                <c:pt idx="3">
                  <c:v>67.099999999999994</c:v>
                </c:pt>
                <c:pt idx="4">
                  <c:v>65.599999999999994</c:v>
                </c:pt>
                <c:pt idx="5">
                  <c:v>63.9</c:v>
                </c:pt>
                <c:pt idx="6">
                  <c:v>58.3</c:v>
                </c:pt>
                <c:pt idx="7">
                  <c:v>57.3</c:v>
                </c:pt>
                <c:pt idx="8">
                  <c:v>57.9</c:v>
                </c:pt>
                <c:pt idx="9">
                  <c:v>58.1</c:v>
                </c:pt>
                <c:pt idx="10">
                  <c:v>55.9</c:v>
                </c:pt>
                <c:pt idx="11">
                  <c:v>56.6</c:v>
                </c:pt>
                <c:pt idx="12">
                  <c:v>56.5</c:v>
                </c:pt>
                <c:pt idx="13">
                  <c:v>56.9</c:v>
                </c:pt>
                <c:pt idx="14">
                  <c:v>56.3</c:v>
                </c:pt>
                <c:pt idx="15">
                  <c:v>53</c:v>
                </c:pt>
                <c:pt idx="16">
                  <c:v>52.7</c:v>
                </c:pt>
                <c:pt idx="17">
                  <c:v>52.1</c:v>
                </c:pt>
                <c:pt idx="18">
                  <c:v>52.5</c:v>
                </c:pt>
                <c:pt idx="19">
                  <c:v>52.8</c:v>
                </c:pt>
                <c:pt idx="20">
                  <c:v>51.6</c:v>
                </c:pt>
                <c:pt idx="21">
                  <c:v>50.1</c:v>
                </c:pt>
                <c:pt idx="22">
                  <c:v>49</c:v>
                </c:pt>
                <c:pt idx="23">
                  <c:v>46.7</c:v>
                </c:pt>
                <c:pt idx="24">
                  <c:v>48</c:v>
                </c:pt>
                <c:pt idx="25">
                  <c:v>47.6</c:v>
                </c:pt>
                <c:pt idx="26">
                  <c:v>44.6</c:v>
                </c:pt>
                <c:pt idx="27">
                  <c:v>43.4</c:v>
                </c:pt>
                <c:pt idx="28">
                  <c:v>43.4</c:v>
                </c:pt>
                <c:pt idx="29">
                  <c:v>45</c:v>
                </c:pt>
                <c:pt idx="30">
                  <c:v>45</c:v>
                </c:pt>
                <c:pt idx="31">
                  <c:v>45.4</c:v>
                </c:pt>
                <c:pt idx="32">
                  <c:v>44.4</c:v>
                </c:pt>
                <c:pt idx="33">
                  <c:v>43.9</c:v>
                </c:pt>
                <c:pt idx="34">
                  <c:v>43.9</c:v>
                </c:pt>
                <c:pt idx="35">
                  <c:v>44.1</c:v>
                </c:pt>
                <c:pt idx="36">
                  <c:v>46</c:v>
                </c:pt>
                <c:pt idx="37">
                  <c:v>46.8</c:v>
                </c:pt>
                <c:pt idx="38">
                  <c:v>46.7</c:v>
                </c:pt>
                <c:pt idx="39">
                  <c:v>47</c:v>
                </c:pt>
                <c:pt idx="40">
                  <c:v>47.2</c:v>
                </c:pt>
                <c:pt idx="41">
                  <c:v>47.8</c:v>
                </c:pt>
                <c:pt idx="42">
                  <c:v>46.4</c:v>
                </c:pt>
                <c:pt idx="43">
                  <c:v>45.9</c:v>
                </c:pt>
                <c:pt idx="44">
                  <c:v>45.4</c:v>
                </c:pt>
                <c:pt idx="45">
                  <c:v>44.8</c:v>
                </c:pt>
                <c:pt idx="46">
                  <c:v>44.2</c:v>
                </c:pt>
                <c:pt idx="47">
                  <c:v>43.2</c:v>
                </c:pt>
                <c:pt idx="48">
                  <c:v>43</c:v>
                </c:pt>
                <c:pt idx="49">
                  <c:v>42.9</c:v>
                </c:pt>
                <c:pt idx="50">
                  <c:v>42.8</c:v>
                </c:pt>
                <c:pt idx="51">
                  <c:v>43.9</c:v>
                </c:pt>
                <c:pt idx="52">
                  <c:v>44</c:v>
                </c:pt>
                <c:pt idx="53" formatCode="0.0">
                  <c:v>44.354066496106888</c:v>
                </c:pt>
                <c:pt idx="54" formatCode="0.0">
                  <c:v>44.078939952949696</c:v>
                </c:pt>
                <c:pt idx="55" formatCode="0.0">
                  <c:v>43.500301050051242</c:v>
                </c:pt>
              </c:numCache>
            </c:numRef>
          </c:val>
          <c:smooth val="0"/>
          <c:extLst>
            <c:ext xmlns:c16="http://schemas.microsoft.com/office/drawing/2014/chart" uri="{C3380CC4-5D6E-409C-BE32-E72D297353CC}">
              <c16:uniqueId val="{00000002-7A4C-D949-A55D-5D99A13969CA}"/>
            </c:ext>
          </c:extLst>
        </c:ser>
        <c:dLbls>
          <c:showLegendKey val="0"/>
          <c:showVal val="0"/>
          <c:showCatName val="0"/>
          <c:showSerName val="0"/>
          <c:showPercent val="0"/>
          <c:showBubbleSize val="0"/>
        </c:dLbls>
        <c:smooth val="0"/>
        <c:axId val="437221104"/>
        <c:axId val="421884128"/>
      </c:lineChart>
      <c:catAx>
        <c:axId val="437221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84128"/>
        <c:crosses val="autoZero"/>
        <c:auto val="1"/>
        <c:lblAlgn val="ctr"/>
        <c:lblOffset val="100"/>
        <c:noMultiLvlLbl val="0"/>
      </c:catAx>
      <c:valAx>
        <c:axId val="421884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22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0BC5-D334-E64D-A99D-1CCD03B0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2805</TotalTime>
  <Pages>33</Pages>
  <Words>10522</Words>
  <Characters>59979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 K</dc:creator>
  <cp:keywords/>
  <dc:description/>
  <cp:lastModifiedBy>Ocean K</cp:lastModifiedBy>
  <cp:revision>122</cp:revision>
  <cp:lastPrinted>2019-11-24T19:13:00Z</cp:lastPrinted>
  <dcterms:created xsi:type="dcterms:W3CDTF">2019-11-12T01:22:00Z</dcterms:created>
  <dcterms:modified xsi:type="dcterms:W3CDTF">2019-12-03T01:06:00Z</dcterms:modified>
</cp:coreProperties>
</file>